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2184" w14:textId="77777777" w:rsidR="0086058D" w:rsidRPr="0086058D" w:rsidRDefault="0086058D" w:rsidP="0086058D">
      <w:pPr>
        <w:spacing w:after="0" w:line="240" w:lineRule="auto"/>
        <w:jc w:val="center"/>
        <w:rPr>
          <w:rFonts w:cstheme="minorHAnsi"/>
          <w:b/>
          <w:sz w:val="28"/>
        </w:rPr>
      </w:pPr>
      <w:r w:rsidRPr="0086058D">
        <w:rPr>
          <w:rFonts w:cstheme="minorHAnsi"/>
          <w:b/>
          <w:sz w:val="28"/>
        </w:rPr>
        <w:t>MOHAWK VALLEY COMMUNITY COLLEGE, UTICA-ROME, NY</w:t>
      </w:r>
    </w:p>
    <w:p w14:paraId="4580B2DF" w14:textId="77777777" w:rsidR="0086058D" w:rsidRPr="0086058D" w:rsidRDefault="0086058D" w:rsidP="0086058D">
      <w:pPr>
        <w:spacing w:after="0" w:line="240" w:lineRule="auto"/>
        <w:jc w:val="center"/>
        <w:rPr>
          <w:rFonts w:cstheme="minorHAnsi"/>
          <w:b/>
          <w:sz w:val="28"/>
        </w:rPr>
      </w:pPr>
      <w:r w:rsidRPr="0086058D">
        <w:rPr>
          <w:rFonts w:cstheme="minorHAnsi"/>
          <w:b/>
          <w:sz w:val="28"/>
        </w:rPr>
        <w:t>SCHOOL OF HEALTH SCIENCES</w:t>
      </w:r>
    </w:p>
    <w:p w14:paraId="06F3E3FC" w14:textId="77777777" w:rsidR="0086058D" w:rsidRDefault="0086058D" w:rsidP="0086058D">
      <w:pPr>
        <w:spacing w:after="0" w:line="240" w:lineRule="auto"/>
        <w:jc w:val="center"/>
        <w:rPr>
          <w:rFonts w:cstheme="minorHAnsi"/>
          <w:b/>
          <w:sz w:val="28"/>
        </w:rPr>
      </w:pPr>
      <w:r w:rsidRPr="0086058D">
        <w:rPr>
          <w:rFonts w:cstheme="minorHAnsi"/>
          <w:b/>
          <w:sz w:val="28"/>
        </w:rPr>
        <w:t>COURSE OUTLINE</w:t>
      </w:r>
    </w:p>
    <w:p w14:paraId="5C5A7FC1" w14:textId="77777777" w:rsidR="0086058D" w:rsidRDefault="0086058D" w:rsidP="0086058D">
      <w:pPr>
        <w:spacing w:after="0" w:line="240" w:lineRule="auto"/>
        <w:jc w:val="center"/>
        <w:rPr>
          <w:rFonts w:cstheme="minorHAnsi"/>
          <w:b/>
          <w:sz w:val="28"/>
        </w:rPr>
      </w:pPr>
    </w:p>
    <w:p w14:paraId="28578D88" w14:textId="16E3F3AB" w:rsidR="00214AB4" w:rsidRDefault="00214AB4" w:rsidP="0086058D">
      <w:pPr>
        <w:spacing w:after="0" w:line="240" w:lineRule="auto"/>
        <w:jc w:val="center"/>
        <w:rPr>
          <w:rFonts w:cstheme="minorHAnsi"/>
          <w:b/>
          <w:sz w:val="28"/>
        </w:rPr>
      </w:pPr>
      <w:r>
        <w:rPr>
          <w:rFonts w:cstheme="minorHAnsi"/>
          <w:b/>
          <w:sz w:val="28"/>
        </w:rPr>
        <w:t xml:space="preserve">NU101 </w:t>
      </w:r>
      <w:r w:rsidRPr="00C004AB">
        <w:rPr>
          <w:rFonts w:cstheme="minorHAnsi"/>
          <w:b/>
          <w:sz w:val="28"/>
        </w:rPr>
        <w:t>–</w:t>
      </w:r>
      <w:r>
        <w:rPr>
          <w:rFonts w:cstheme="minorHAnsi"/>
          <w:b/>
          <w:sz w:val="28"/>
        </w:rPr>
        <w:t xml:space="preserve"> </w:t>
      </w:r>
      <w:r w:rsidRPr="00C004AB">
        <w:rPr>
          <w:rFonts w:cstheme="minorHAnsi"/>
          <w:b/>
          <w:sz w:val="28"/>
        </w:rPr>
        <w:t>Nursing 1</w:t>
      </w:r>
      <w:r>
        <w:rPr>
          <w:rFonts w:cstheme="minorHAnsi"/>
          <w:b/>
          <w:sz w:val="28"/>
        </w:rPr>
        <w:t xml:space="preserve"> (Fundamentals of Nursing)</w:t>
      </w:r>
    </w:p>
    <w:p w14:paraId="4207B7D2" w14:textId="77777777" w:rsidR="0086058D" w:rsidRPr="00B1165B" w:rsidRDefault="0086058D" w:rsidP="0086058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277"/>
        <w:gridCol w:w="1373"/>
        <w:gridCol w:w="1374"/>
        <w:gridCol w:w="1278"/>
        <w:gridCol w:w="1359"/>
        <w:gridCol w:w="1330"/>
        <w:gridCol w:w="1359"/>
      </w:tblGrid>
      <w:tr w:rsidR="00214AB4" w:rsidRPr="00B1165B" w14:paraId="41F52965" w14:textId="77777777" w:rsidTr="002A3389">
        <w:tc>
          <w:tcPr>
            <w:tcW w:w="2055" w:type="dxa"/>
          </w:tcPr>
          <w:p w14:paraId="41DD579F"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Total Credit Hours</w:t>
            </w:r>
          </w:p>
        </w:tc>
        <w:tc>
          <w:tcPr>
            <w:tcW w:w="2055" w:type="dxa"/>
          </w:tcPr>
          <w:p w14:paraId="637757F6"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Didactic Credit Hours</w:t>
            </w:r>
          </w:p>
        </w:tc>
        <w:tc>
          <w:tcPr>
            <w:tcW w:w="2056" w:type="dxa"/>
          </w:tcPr>
          <w:p w14:paraId="7476531A"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Didactic Contact Hours</w:t>
            </w:r>
          </w:p>
        </w:tc>
        <w:tc>
          <w:tcPr>
            <w:tcW w:w="2056" w:type="dxa"/>
          </w:tcPr>
          <w:p w14:paraId="7A5F0B5F"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Lab Credit Hours</w:t>
            </w:r>
          </w:p>
        </w:tc>
        <w:tc>
          <w:tcPr>
            <w:tcW w:w="2056" w:type="dxa"/>
          </w:tcPr>
          <w:p w14:paraId="2B443054"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Lab Contact Hours</w:t>
            </w:r>
          </w:p>
        </w:tc>
        <w:tc>
          <w:tcPr>
            <w:tcW w:w="2056" w:type="dxa"/>
          </w:tcPr>
          <w:p w14:paraId="71FEC0E2"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Clinical Credit Hours</w:t>
            </w:r>
          </w:p>
        </w:tc>
        <w:tc>
          <w:tcPr>
            <w:tcW w:w="2056" w:type="dxa"/>
          </w:tcPr>
          <w:p w14:paraId="553A8B0C"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Clinical Contact Hours.</w:t>
            </w:r>
          </w:p>
        </w:tc>
      </w:tr>
      <w:tr w:rsidR="00214AB4" w:rsidRPr="00B1165B" w14:paraId="7FB17052" w14:textId="77777777" w:rsidTr="002A3389">
        <w:tc>
          <w:tcPr>
            <w:tcW w:w="2055" w:type="dxa"/>
          </w:tcPr>
          <w:p w14:paraId="7541DFF4"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5</w:t>
            </w:r>
          </w:p>
        </w:tc>
        <w:tc>
          <w:tcPr>
            <w:tcW w:w="2055" w:type="dxa"/>
          </w:tcPr>
          <w:p w14:paraId="7B3992CA"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 3</w:t>
            </w:r>
          </w:p>
        </w:tc>
        <w:tc>
          <w:tcPr>
            <w:tcW w:w="2056" w:type="dxa"/>
          </w:tcPr>
          <w:p w14:paraId="6AC15906"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3</w:t>
            </w:r>
          </w:p>
        </w:tc>
        <w:tc>
          <w:tcPr>
            <w:tcW w:w="2056" w:type="dxa"/>
          </w:tcPr>
          <w:p w14:paraId="16812EF2"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4"/>
                <w:szCs w:val="24"/>
              </w:rPr>
              <w:t> </w:t>
            </w:r>
          </w:p>
        </w:tc>
        <w:tc>
          <w:tcPr>
            <w:tcW w:w="2056" w:type="dxa"/>
          </w:tcPr>
          <w:p w14:paraId="74F2C5BD"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4"/>
                <w:szCs w:val="24"/>
              </w:rPr>
              <w:t> </w:t>
            </w:r>
          </w:p>
        </w:tc>
        <w:tc>
          <w:tcPr>
            <w:tcW w:w="2056" w:type="dxa"/>
          </w:tcPr>
          <w:p w14:paraId="2098DCF9"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 2</w:t>
            </w:r>
          </w:p>
        </w:tc>
        <w:tc>
          <w:tcPr>
            <w:tcW w:w="2056" w:type="dxa"/>
          </w:tcPr>
          <w:p w14:paraId="2361F2EF" w14:textId="77777777" w:rsidR="00214AB4" w:rsidRPr="004F1F7C" w:rsidRDefault="00214AB4" w:rsidP="002A3389">
            <w:pPr>
              <w:jc w:val="center"/>
              <w:rPr>
                <w:rFonts w:eastAsia="Times New Roman" w:cstheme="minorHAnsi"/>
                <w:color w:val="212121"/>
                <w:sz w:val="23"/>
                <w:szCs w:val="23"/>
              </w:rPr>
            </w:pPr>
            <w:r w:rsidRPr="004F1F7C">
              <w:rPr>
                <w:rFonts w:eastAsia="Times New Roman" w:cstheme="minorHAnsi"/>
                <w:b/>
                <w:bCs/>
                <w:color w:val="212121"/>
                <w:sz w:val="20"/>
                <w:szCs w:val="20"/>
              </w:rPr>
              <w:t>6</w:t>
            </w:r>
          </w:p>
        </w:tc>
      </w:tr>
    </w:tbl>
    <w:p w14:paraId="552EEE27" w14:textId="77777777" w:rsidR="00214AB4" w:rsidRDefault="00214AB4" w:rsidP="00214AB4">
      <w:pPr>
        <w:shd w:val="clear" w:color="auto" w:fill="FFFFFF"/>
        <w:spacing w:after="0" w:line="240" w:lineRule="auto"/>
        <w:rPr>
          <w:rFonts w:eastAsia="Times New Roman" w:cstheme="minorHAnsi"/>
          <w:b/>
          <w:color w:val="000000"/>
          <w:sz w:val="24"/>
          <w:szCs w:val="28"/>
        </w:rPr>
      </w:pPr>
    </w:p>
    <w:p w14:paraId="04732B75" w14:textId="77777777" w:rsidR="00214AB4" w:rsidRPr="00B1165B" w:rsidRDefault="00214AB4" w:rsidP="00214AB4">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COURSE-SPECIFIC PREREQUISITES/CO-REQUISITES</w:t>
      </w:r>
    </w:p>
    <w:p w14:paraId="5156E073" w14:textId="77777777" w:rsidR="00214AB4" w:rsidRPr="00B1165B" w:rsidRDefault="00214AB4" w:rsidP="00214AB4">
      <w:pPr>
        <w:shd w:val="clear" w:color="auto" w:fill="FFFFFF"/>
        <w:spacing w:after="0" w:line="240" w:lineRule="auto"/>
        <w:rPr>
          <w:rFonts w:eastAsia="Times New Roman" w:cstheme="minorHAnsi"/>
          <w:b/>
          <w:color w:val="212121"/>
          <w:sz w:val="24"/>
          <w:szCs w:val="23"/>
        </w:rPr>
      </w:pPr>
      <w:r w:rsidRPr="00B1165B">
        <w:rPr>
          <w:rFonts w:eastAsia="Times New Roman" w:cstheme="minorHAnsi"/>
          <w:b/>
          <w:color w:val="212121"/>
          <w:sz w:val="24"/>
          <w:szCs w:val="23"/>
        </w:rPr>
        <w:t>Prerequisites</w:t>
      </w:r>
    </w:p>
    <w:p w14:paraId="0CED776B" w14:textId="77777777" w:rsidR="00214AB4" w:rsidRPr="00B1165B" w:rsidRDefault="00214AB4" w:rsidP="00214AB4">
      <w:pPr>
        <w:pStyle w:val="ListParagraph"/>
        <w:numPr>
          <w:ilvl w:val="0"/>
          <w:numId w:val="4"/>
        </w:numPr>
        <w:shd w:val="clear" w:color="auto" w:fill="FFFFFF"/>
        <w:spacing w:after="0" w:line="240" w:lineRule="auto"/>
        <w:rPr>
          <w:rFonts w:eastAsia="Times New Roman" w:cstheme="minorHAnsi"/>
          <w:color w:val="212121"/>
          <w:sz w:val="24"/>
          <w:szCs w:val="23"/>
        </w:rPr>
      </w:pPr>
      <w:r w:rsidRPr="00B1165B">
        <w:rPr>
          <w:rFonts w:eastAsia="Times New Roman" w:cstheme="minorHAnsi"/>
          <w:color w:val="212121"/>
          <w:sz w:val="24"/>
          <w:szCs w:val="23"/>
        </w:rPr>
        <w:t xml:space="preserve">An appropriate placement test result or MA045 or MA050 </w:t>
      </w:r>
    </w:p>
    <w:p w14:paraId="0D0AFCF8" w14:textId="77777777" w:rsidR="00214AB4" w:rsidRPr="00B1165B" w:rsidRDefault="00214AB4" w:rsidP="00214AB4">
      <w:pPr>
        <w:pStyle w:val="ListParagraph"/>
        <w:numPr>
          <w:ilvl w:val="0"/>
          <w:numId w:val="4"/>
        </w:numPr>
        <w:shd w:val="clear" w:color="auto" w:fill="FFFFFF"/>
        <w:spacing w:after="0" w:line="240" w:lineRule="auto"/>
        <w:rPr>
          <w:rFonts w:eastAsia="Times New Roman" w:cstheme="minorHAnsi"/>
          <w:color w:val="212121"/>
          <w:sz w:val="24"/>
          <w:szCs w:val="23"/>
        </w:rPr>
      </w:pPr>
      <w:r w:rsidRPr="00B1165B">
        <w:rPr>
          <w:rFonts w:eastAsia="Times New Roman" w:cstheme="minorHAnsi"/>
          <w:color w:val="212121"/>
          <w:sz w:val="24"/>
          <w:szCs w:val="23"/>
        </w:rPr>
        <w:t>High School Chemistry with Lab or its equivalent</w:t>
      </w:r>
    </w:p>
    <w:p w14:paraId="7997794D" w14:textId="77777777" w:rsidR="00214AB4" w:rsidRPr="00B1165B" w:rsidRDefault="00214AB4" w:rsidP="00214AB4">
      <w:pPr>
        <w:shd w:val="clear" w:color="auto" w:fill="FFFFFF"/>
        <w:spacing w:after="0" w:line="240" w:lineRule="auto"/>
        <w:rPr>
          <w:rFonts w:eastAsia="Times New Roman" w:cstheme="minorHAnsi"/>
          <w:color w:val="212121"/>
          <w:sz w:val="23"/>
          <w:szCs w:val="23"/>
        </w:rPr>
      </w:pPr>
    </w:p>
    <w:p w14:paraId="43157C8D" w14:textId="77777777" w:rsidR="00214AB4" w:rsidRDefault="00214AB4" w:rsidP="00214AB4">
      <w:pPr>
        <w:shd w:val="clear" w:color="auto" w:fill="FFFFFF"/>
        <w:spacing w:after="0" w:line="240" w:lineRule="auto"/>
        <w:rPr>
          <w:rFonts w:eastAsia="Times New Roman" w:cstheme="minorHAnsi"/>
          <w:color w:val="212121"/>
          <w:sz w:val="23"/>
          <w:szCs w:val="23"/>
        </w:rPr>
      </w:pPr>
      <w:r w:rsidRPr="00B1165B">
        <w:rPr>
          <w:rFonts w:eastAsia="Times New Roman" w:cstheme="minorHAnsi"/>
          <w:b/>
          <w:color w:val="212121"/>
          <w:sz w:val="24"/>
          <w:szCs w:val="23"/>
        </w:rPr>
        <w:t>Corequisites</w:t>
      </w:r>
      <w:r w:rsidRPr="00B1165B">
        <w:rPr>
          <w:rFonts w:eastAsia="Times New Roman" w:cstheme="minorHAnsi"/>
          <w:color w:val="212121"/>
          <w:sz w:val="23"/>
          <w:szCs w:val="23"/>
        </w:rPr>
        <w:tab/>
      </w:r>
    </w:p>
    <w:p w14:paraId="2A58178C" w14:textId="77777777" w:rsidR="00214AB4" w:rsidRPr="00B1165B" w:rsidRDefault="00214AB4" w:rsidP="00214AB4">
      <w:pPr>
        <w:pStyle w:val="ListParagraph"/>
        <w:numPr>
          <w:ilvl w:val="0"/>
          <w:numId w:val="5"/>
        </w:numPr>
        <w:shd w:val="clear" w:color="auto" w:fill="FFFFFF"/>
        <w:spacing w:after="0" w:line="240" w:lineRule="auto"/>
        <w:rPr>
          <w:rFonts w:eastAsia="Times New Roman" w:cstheme="minorHAnsi"/>
          <w:color w:val="212121"/>
          <w:sz w:val="24"/>
          <w:szCs w:val="23"/>
        </w:rPr>
      </w:pPr>
      <w:r w:rsidRPr="00B1165B">
        <w:rPr>
          <w:rFonts w:eastAsia="Times New Roman" w:cstheme="minorHAnsi"/>
          <w:color w:val="212121"/>
          <w:sz w:val="24"/>
          <w:szCs w:val="23"/>
        </w:rPr>
        <w:t xml:space="preserve">NU111 Nursing Pharmacotherapeutics </w:t>
      </w:r>
    </w:p>
    <w:p w14:paraId="108C2609" w14:textId="77777777" w:rsidR="00214AB4" w:rsidRPr="00B1165B" w:rsidRDefault="00214AB4" w:rsidP="00214AB4">
      <w:pPr>
        <w:pStyle w:val="ListParagraph"/>
        <w:numPr>
          <w:ilvl w:val="0"/>
          <w:numId w:val="5"/>
        </w:numPr>
        <w:shd w:val="clear" w:color="auto" w:fill="FFFFFF"/>
        <w:spacing w:after="0" w:line="240" w:lineRule="auto"/>
        <w:rPr>
          <w:rFonts w:eastAsia="Times New Roman" w:cstheme="minorHAnsi"/>
          <w:color w:val="212121"/>
          <w:sz w:val="24"/>
          <w:szCs w:val="23"/>
        </w:rPr>
      </w:pPr>
      <w:r w:rsidRPr="00B1165B">
        <w:rPr>
          <w:rFonts w:eastAsia="Times New Roman" w:cstheme="minorHAnsi"/>
          <w:color w:val="212121"/>
          <w:sz w:val="24"/>
          <w:szCs w:val="23"/>
        </w:rPr>
        <w:t>BI216 Human Anatomy and Physiology 1</w:t>
      </w:r>
    </w:p>
    <w:p w14:paraId="6B9BE861" w14:textId="77777777" w:rsidR="00214AB4" w:rsidRPr="00B1165B" w:rsidRDefault="00214AB4" w:rsidP="00214AB4">
      <w:pPr>
        <w:shd w:val="clear" w:color="auto" w:fill="FFFFFF"/>
        <w:spacing w:after="0" w:line="240" w:lineRule="auto"/>
        <w:rPr>
          <w:rFonts w:eastAsia="Times New Roman" w:cstheme="minorHAnsi"/>
          <w:color w:val="212121"/>
          <w:sz w:val="23"/>
          <w:szCs w:val="23"/>
        </w:rPr>
      </w:pPr>
    </w:p>
    <w:p w14:paraId="572ECB85" w14:textId="77777777" w:rsidR="00214AB4" w:rsidRPr="00B1165B" w:rsidRDefault="00214AB4" w:rsidP="00214AB4">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 DESCRIPTION</w:t>
      </w:r>
    </w:p>
    <w:p w14:paraId="394297F1" w14:textId="77777777" w:rsidR="00214AB4" w:rsidRDefault="00214AB4" w:rsidP="00214AB4">
      <w:pPr>
        <w:shd w:val="clear" w:color="auto" w:fill="FFFFFF"/>
        <w:spacing w:after="0" w:line="240" w:lineRule="auto"/>
        <w:rPr>
          <w:rFonts w:eastAsia="Arial Unicode MS" w:cstheme="minorHAnsi"/>
          <w:snapToGrid w:val="0"/>
        </w:rPr>
      </w:pPr>
      <w:r w:rsidRPr="00B1165B">
        <w:rPr>
          <w:rFonts w:eastAsia="Arial Unicode MS" w:cstheme="minorHAnsi"/>
          <w:snapToGrid w:val="0"/>
        </w:rPr>
        <w:t>This course explores the art and science of nursing and provides the foundation for all subsequent nursing courses. The physical, physiological, psychological, sociocultural, and spiritual needs of the client are emphasized in the promotion of health and wellness. The roles and responsibilities of nursing practice in contemporary society are explored. Basic concepts of Maslow's Hierarchy of Needs theory, the nursing process, communication, critical thinking, leadership and management principles, ethical and legal aspects, and scientific principles of nursing and nursing skills are introduced. Clinical practicums are provided in a variety of healthcare facilities.</w:t>
      </w:r>
    </w:p>
    <w:p w14:paraId="4ACBBE3C" w14:textId="77777777" w:rsidR="00214AB4" w:rsidRPr="00B1165B" w:rsidRDefault="00214AB4" w:rsidP="00214AB4">
      <w:pPr>
        <w:shd w:val="clear" w:color="auto" w:fill="FFFFFF"/>
        <w:spacing w:after="0" w:line="240" w:lineRule="auto"/>
        <w:rPr>
          <w:rFonts w:eastAsia="Times New Roman" w:cstheme="minorHAnsi"/>
          <w:color w:val="212121"/>
          <w:sz w:val="23"/>
          <w:szCs w:val="23"/>
        </w:rPr>
      </w:pPr>
    </w:p>
    <w:p w14:paraId="054DDACB" w14:textId="77777777" w:rsidR="00214AB4" w:rsidRPr="00B1165B" w:rsidRDefault="00214AB4" w:rsidP="00214AB4">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 OBJECTIVES/OUTCOMES</w:t>
      </w:r>
    </w:p>
    <w:p w14:paraId="16CF4CCE" w14:textId="77777777" w:rsidR="00214AB4" w:rsidRPr="00B1165B" w:rsidRDefault="00214AB4" w:rsidP="00214AB4">
      <w:pPr>
        <w:pStyle w:val="WPNormal"/>
        <w:spacing w:after="120"/>
        <w:rPr>
          <w:rFonts w:asciiTheme="minorHAnsi" w:eastAsia="Arial Unicode MS" w:hAnsiTheme="minorHAnsi" w:cstheme="minorHAnsi"/>
          <w:snapToGrid w:val="0"/>
          <w:szCs w:val="22"/>
        </w:rPr>
      </w:pPr>
      <w:r w:rsidRPr="00B1165B">
        <w:rPr>
          <w:rFonts w:asciiTheme="minorHAnsi" w:hAnsiTheme="minorHAnsi" w:cstheme="minorHAnsi"/>
          <w:szCs w:val="22"/>
        </w:rPr>
        <w:t>Upon successful completion of the NU101 course, the student will:</w:t>
      </w:r>
    </w:p>
    <w:p w14:paraId="29C23103" w14:textId="77777777" w:rsidR="00214AB4" w:rsidRPr="00B1165B" w:rsidRDefault="00214AB4" w:rsidP="00214AB4">
      <w:pPr>
        <w:pStyle w:val="ListParagraph"/>
        <w:widowControl w:val="0"/>
        <w:numPr>
          <w:ilvl w:val="0"/>
          <w:numId w:val="1"/>
        </w:numPr>
        <w:spacing w:after="0" w:line="240" w:lineRule="auto"/>
        <w:rPr>
          <w:rFonts w:eastAsia="Arial Unicode MS" w:cstheme="minorHAnsi"/>
          <w:snapToGrid w:val="0"/>
          <w:sz w:val="24"/>
        </w:rPr>
      </w:pPr>
      <w:r w:rsidRPr="00B1165B">
        <w:rPr>
          <w:rFonts w:cstheme="minorHAnsi"/>
          <w:sz w:val="24"/>
        </w:rPr>
        <w:t>Implement nursing care to patients, families, and groups across the lifespan from diverse backgrounds in a variety of settings that is compassionate, age and culturally appropriate and based on a patient's preferences, values and needs</w:t>
      </w:r>
    </w:p>
    <w:p w14:paraId="19DF0015" w14:textId="77777777" w:rsidR="00214AB4" w:rsidRPr="00B1165B" w:rsidRDefault="00214AB4" w:rsidP="00214AB4">
      <w:pPr>
        <w:pStyle w:val="ListParagraph"/>
        <w:widowControl w:val="0"/>
        <w:numPr>
          <w:ilvl w:val="0"/>
          <w:numId w:val="1"/>
        </w:numPr>
        <w:spacing w:after="0" w:line="240" w:lineRule="auto"/>
        <w:rPr>
          <w:rFonts w:eastAsia="Arial Unicode MS" w:cstheme="minorHAnsi"/>
          <w:snapToGrid w:val="0"/>
          <w:sz w:val="24"/>
        </w:rPr>
      </w:pPr>
      <w:r w:rsidRPr="00B1165B">
        <w:rPr>
          <w:rFonts w:cstheme="minorHAnsi"/>
          <w:sz w:val="24"/>
        </w:rPr>
        <w:t>Participate as a member of the interprofessional healthcare team in the provision of safe, quality, patient-centered care</w:t>
      </w:r>
    </w:p>
    <w:p w14:paraId="1B12DDC1" w14:textId="77777777" w:rsidR="00214AB4" w:rsidRPr="00B1165B" w:rsidRDefault="00214AB4" w:rsidP="00214AB4">
      <w:pPr>
        <w:pStyle w:val="ListParagraph"/>
        <w:widowControl w:val="0"/>
        <w:numPr>
          <w:ilvl w:val="0"/>
          <w:numId w:val="1"/>
        </w:numPr>
        <w:spacing w:after="0" w:line="240" w:lineRule="auto"/>
        <w:rPr>
          <w:rFonts w:eastAsia="Arial Unicode MS" w:cstheme="minorHAnsi"/>
          <w:snapToGrid w:val="0"/>
          <w:sz w:val="24"/>
        </w:rPr>
      </w:pPr>
      <w:r w:rsidRPr="00B1165B">
        <w:rPr>
          <w:rFonts w:cstheme="minorHAnsi"/>
          <w:sz w:val="24"/>
        </w:rPr>
        <w:t>Use evidence-based information and patient care technology in the provision of safe, quality, patient-centered care</w:t>
      </w:r>
    </w:p>
    <w:p w14:paraId="3DD1EA76" w14:textId="77777777" w:rsidR="00214AB4" w:rsidRPr="00B1165B" w:rsidRDefault="00214AB4" w:rsidP="00214AB4">
      <w:pPr>
        <w:pStyle w:val="ListParagraph"/>
        <w:widowControl w:val="0"/>
        <w:numPr>
          <w:ilvl w:val="0"/>
          <w:numId w:val="1"/>
        </w:numPr>
        <w:spacing w:after="0" w:line="240" w:lineRule="auto"/>
        <w:rPr>
          <w:rFonts w:eastAsia="Arial Unicode MS" w:cstheme="minorHAnsi"/>
          <w:snapToGrid w:val="0"/>
          <w:sz w:val="24"/>
        </w:rPr>
      </w:pPr>
      <w:r w:rsidRPr="00B1165B">
        <w:rPr>
          <w:rFonts w:cstheme="minorHAnsi"/>
          <w:sz w:val="24"/>
        </w:rPr>
        <w:t>Participate in data collection processes that support established quality improvement initiatives</w:t>
      </w:r>
    </w:p>
    <w:p w14:paraId="391C974B" w14:textId="77777777" w:rsidR="00214AB4" w:rsidRPr="00B1165B" w:rsidRDefault="00214AB4" w:rsidP="00214AB4">
      <w:pPr>
        <w:pStyle w:val="ListParagraph"/>
        <w:widowControl w:val="0"/>
        <w:numPr>
          <w:ilvl w:val="0"/>
          <w:numId w:val="1"/>
        </w:numPr>
        <w:spacing w:after="0" w:line="240" w:lineRule="auto"/>
        <w:rPr>
          <w:rFonts w:eastAsia="Arial Unicode MS" w:cstheme="minorHAnsi"/>
          <w:snapToGrid w:val="0"/>
          <w:sz w:val="24"/>
        </w:rPr>
      </w:pPr>
      <w:r w:rsidRPr="00B1165B">
        <w:rPr>
          <w:rFonts w:cstheme="minorHAnsi"/>
          <w:sz w:val="24"/>
        </w:rPr>
        <w:t>Implement strategies that minimize risk and provide a safe environment for patients, self, and others</w:t>
      </w:r>
    </w:p>
    <w:p w14:paraId="18E4FDB4" w14:textId="77777777" w:rsidR="00214AB4" w:rsidRPr="00B1165B" w:rsidRDefault="00214AB4" w:rsidP="00214AB4">
      <w:pPr>
        <w:pStyle w:val="ListParagraph"/>
        <w:widowControl w:val="0"/>
        <w:numPr>
          <w:ilvl w:val="0"/>
          <w:numId w:val="1"/>
        </w:numPr>
        <w:spacing w:after="0" w:line="240" w:lineRule="auto"/>
        <w:rPr>
          <w:rFonts w:eastAsia="Arial Unicode MS" w:cstheme="minorHAnsi"/>
          <w:snapToGrid w:val="0"/>
          <w:sz w:val="24"/>
        </w:rPr>
      </w:pPr>
      <w:r w:rsidRPr="00B1165B">
        <w:rPr>
          <w:rFonts w:cstheme="minorHAnsi"/>
          <w:sz w:val="24"/>
        </w:rPr>
        <w:lastRenderedPageBreak/>
        <w:t>Describe how leadership, management, and priority-setting skills are used to support safe, quality, patient-centered care</w:t>
      </w:r>
    </w:p>
    <w:p w14:paraId="23E5939F" w14:textId="77777777" w:rsidR="00214AB4" w:rsidRPr="00B1165B" w:rsidRDefault="00214AB4" w:rsidP="00214AB4">
      <w:pPr>
        <w:pStyle w:val="ListParagraph"/>
        <w:numPr>
          <w:ilvl w:val="0"/>
          <w:numId w:val="1"/>
        </w:numPr>
        <w:shd w:val="clear" w:color="auto" w:fill="FFFFFF"/>
        <w:spacing w:after="0" w:line="240" w:lineRule="auto"/>
        <w:rPr>
          <w:rFonts w:eastAsia="Times New Roman" w:cstheme="minorHAnsi"/>
          <w:color w:val="212121"/>
          <w:sz w:val="23"/>
          <w:szCs w:val="23"/>
        </w:rPr>
      </w:pPr>
      <w:r w:rsidRPr="00B1165B">
        <w:rPr>
          <w:rFonts w:cstheme="minorHAnsi"/>
          <w:sz w:val="24"/>
        </w:rPr>
        <w:t>Practice nursing in an accountable, responsible, ethical, and legal manner while providing patient-centered, standard-based nursing care</w:t>
      </w:r>
    </w:p>
    <w:p w14:paraId="395CFB33" w14:textId="77777777" w:rsidR="00214AB4" w:rsidRPr="00B1165B" w:rsidRDefault="00214AB4" w:rsidP="00214AB4">
      <w:pPr>
        <w:shd w:val="clear" w:color="auto" w:fill="FFFFFF"/>
        <w:spacing w:after="0" w:line="240" w:lineRule="auto"/>
        <w:rPr>
          <w:rFonts w:eastAsia="Times New Roman" w:cstheme="minorHAnsi"/>
          <w:color w:val="212121"/>
          <w:sz w:val="23"/>
          <w:szCs w:val="23"/>
        </w:rPr>
      </w:pPr>
    </w:p>
    <w:p w14:paraId="3F1DB576" w14:textId="77777777" w:rsidR="00214AB4" w:rsidRPr="00B1165B" w:rsidRDefault="00214AB4" w:rsidP="00214AB4">
      <w:pPr>
        <w:shd w:val="clear" w:color="auto" w:fill="FFFFFF"/>
        <w:spacing w:after="120" w:line="240" w:lineRule="auto"/>
        <w:rPr>
          <w:rFonts w:eastAsia="Times New Roman" w:cstheme="minorHAnsi"/>
          <w:b/>
          <w:color w:val="212121"/>
          <w:sz w:val="23"/>
          <w:szCs w:val="23"/>
        </w:rPr>
      </w:pPr>
      <w:r w:rsidRPr="00B1165B">
        <w:rPr>
          <w:rFonts w:eastAsia="Times New Roman" w:cstheme="minorHAnsi"/>
          <w:b/>
          <w:color w:val="000000"/>
          <w:sz w:val="24"/>
          <w:szCs w:val="28"/>
        </w:rPr>
        <w:t>METHODS OF EVALUATION (including information regarding how each contributes to the overall course grade)</w:t>
      </w:r>
    </w:p>
    <w:p w14:paraId="71C732DA" w14:textId="77777777" w:rsidR="00214AB4" w:rsidRPr="00B1165B" w:rsidRDefault="00214AB4" w:rsidP="00214AB4">
      <w:pPr>
        <w:pStyle w:val="Quick1"/>
        <w:numPr>
          <w:ilvl w:val="0"/>
          <w:numId w:val="0"/>
        </w:numPr>
        <w:spacing w:after="120"/>
        <w:rPr>
          <w:rFonts w:asciiTheme="minorHAnsi" w:hAnsiTheme="minorHAnsi" w:cstheme="minorHAnsi"/>
          <w:sz w:val="22"/>
          <w:szCs w:val="22"/>
        </w:rPr>
      </w:pPr>
      <w:r w:rsidRPr="00B1165B">
        <w:rPr>
          <w:rFonts w:asciiTheme="minorHAnsi" w:hAnsiTheme="minorHAnsi" w:cstheme="minorHAnsi"/>
          <w:sz w:val="22"/>
          <w:szCs w:val="22"/>
        </w:rPr>
        <w:t>The course student learning outcomes will be evaluated based on the following methods:</w:t>
      </w:r>
    </w:p>
    <w:p w14:paraId="01F6BDE0"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Unit Exams (4 @ 17.5% EACH) – 70%</w:t>
      </w:r>
    </w:p>
    <w:p w14:paraId="71DEE468"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Comprehensive Final Exam – 20%</w:t>
      </w:r>
    </w:p>
    <w:p w14:paraId="0EED662B"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 xml:space="preserve">ATI RN Fundamentals series – 6%-10%      </w:t>
      </w:r>
    </w:p>
    <w:p w14:paraId="447537E4"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Lab – Pass/Fail</w:t>
      </w:r>
    </w:p>
    <w:p w14:paraId="5FEE0F7A"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Skills testing – Pass/Fail</w:t>
      </w:r>
    </w:p>
    <w:p w14:paraId="4AD49981"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 xml:space="preserve">Clinical – Pass/Fail (must achieve </w:t>
      </w:r>
      <w:r w:rsidRPr="00B1165B">
        <w:rPr>
          <w:rFonts w:eastAsia="Arial Unicode MS" w:cstheme="minorHAnsi"/>
          <w:snapToGrid w:val="0"/>
        </w:rPr>
        <w:t>≥</w:t>
      </w:r>
      <w:r w:rsidRPr="00B1165B">
        <w:rPr>
          <w:rFonts w:eastAsia="Times New Roman" w:cstheme="minorHAnsi"/>
          <w:snapToGrid w:val="0"/>
        </w:rPr>
        <w:t xml:space="preserve"> 75%)</w:t>
      </w:r>
    </w:p>
    <w:p w14:paraId="5911D010" w14:textId="77777777" w:rsidR="00214AB4" w:rsidRPr="00B1165B" w:rsidRDefault="00214AB4" w:rsidP="00214AB4">
      <w:pPr>
        <w:pStyle w:val="ListParagraph"/>
        <w:widowControl w:val="0"/>
        <w:numPr>
          <w:ilvl w:val="0"/>
          <w:numId w:val="3"/>
        </w:numPr>
        <w:spacing w:after="0" w:line="240" w:lineRule="auto"/>
        <w:rPr>
          <w:rFonts w:eastAsia="Times New Roman" w:cstheme="minorHAnsi"/>
          <w:snapToGrid w:val="0"/>
        </w:rPr>
      </w:pPr>
      <w:r w:rsidRPr="00B1165B">
        <w:rPr>
          <w:rFonts w:eastAsia="Times New Roman" w:cstheme="minorHAnsi"/>
          <w:snapToGrid w:val="0"/>
        </w:rPr>
        <w:t xml:space="preserve">Community Event – Waived                                      </w:t>
      </w:r>
    </w:p>
    <w:p w14:paraId="1B67ECBA" w14:textId="77777777" w:rsidR="00214AB4" w:rsidRPr="00B1165B" w:rsidRDefault="00214AB4" w:rsidP="00214AB4">
      <w:pPr>
        <w:widowControl w:val="0"/>
        <w:spacing w:after="0" w:line="240" w:lineRule="auto"/>
        <w:ind w:right="-36"/>
        <w:rPr>
          <w:rFonts w:eastAsia="Arial Unicode MS" w:cstheme="minorHAnsi"/>
          <w:snapToGrid w:val="0"/>
        </w:rPr>
      </w:pPr>
    </w:p>
    <w:p w14:paraId="7CF15928" w14:textId="77777777" w:rsidR="00214AB4" w:rsidRDefault="00214AB4" w:rsidP="00214AB4">
      <w:pPr>
        <w:shd w:val="clear" w:color="auto" w:fill="FFFFFF"/>
        <w:spacing w:after="0" w:line="240" w:lineRule="auto"/>
        <w:rPr>
          <w:rFonts w:eastAsia="Arial Unicode MS" w:cstheme="minorHAnsi"/>
          <w:snapToGrid w:val="0"/>
        </w:rPr>
      </w:pPr>
      <w:r w:rsidRPr="00B1165B">
        <w:rPr>
          <w:rFonts w:eastAsia="Arial Unicode MS" w:cstheme="minorHAnsi"/>
          <w:snapToGrid w:val="0"/>
        </w:rPr>
        <w:t xml:space="preserve">A passing grade for the NU101 course is dependent on satisfactory completion of </w:t>
      </w:r>
      <w:r w:rsidRPr="00B1165B">
        <w:rPr>
          <w:rFonts w:eastAsia="Arial Unicode MS" w:cstheme="minorHAnsi"/>
          <w:b/>
          <w:snapToGrid w:val="0"/>
        </w:rPr>
        <w:t>all</w:t>
      </w:r>
      <w:r w:rsidRPr="00B1165B">
        <w:rPr>
          <w:rFonts w:eastAsia="Arial Unicode MS" w:cstheme="minorHAnsi"/>
          <w:snapToGrid w:val="0"/>
        </w:rPr>
        <w:t xml:space="preserve"> course assignments and requirements.</w:t>
      </w:r>
    </w:p>
    <w:p w14:paraId="51F65F92" w14:textId="77777777" w:rsidR="00214AB4" w:rsidRPr="00B1165B" w:rsidRDefault="00214AB4" w:rsidP="00214AB4">
      <w:pPr>
        <w:shd w:val="clear" w:color="auto" w:fill="FFFFFF"/>
        <w:spacing w:after="0" w:line="240" w:lineRule="auto"/>
        <w:rPr>
          <w:rFonts w:eastAsia="Times New Roman" w:cstheme="minorHAnsi"/>
          <w:color w:val="212121"/>
          <w:sz w:val="23"/>
          <w:szCs w:val="23"/>
        </w:rPr>
      </w:pPr>
    </w:p>
    <w:p w14:paraId="73BD509B" w14:textId="77777777" w:rsidR="00214AB4" w:rsidRPr="00B1165B" w:rsidRDefault="00214AB4" w:rsidP="00214AB4">
      <w:pPr>
        <w:shd w:val="clear" w:color="auto" w:fill="FFFFFF"/>
        <w:spacing w:after="0" w:line="240" w:lineRule="auto"/>
        <w:rPr>
          <w:rFonts w:eastAsia="Times New Roman" w:cstheme="minorHAnsi"/>
          <w:b/>
          <w:color w:val="212121"/>
          <w:sz w:val="23"/>
          <w:szCs w:val="23"/>
        </w:rPr>
      </w:pPr>
      <w:r w:rsidRPr="00B1165B">
        <w:rPr>
          <w:rFonts w:eastAsia="Times New Roman" w:cstheme="minorHAnsi"/>
          <w:b/>
          <w:color w:val="000000"/>
          <w:sz w:val="24"/>
          <w:szCs w:val="28"/>
        </w:rPr>
        <w:t>TOP</w:t>
      </w:r>
      <w:r>
        <w:rPr>
          <w:rFonts w:eastAsia="Times New Roman" w:cstheme="minorHAnsi"/>
          <w:b/>
          <w:color w:val="000000"/>
          <w:sz w:val="24"/>
          <w:szCs w:val="28"/>
        </w:rPr>
        <w:t>ICAL OUTLINE FOR COURSE CONTENT</w:t>
      </w:r>
    </w:p>
    <w:p w14:paraId="40CA5214" w14:textId="77777777" w:rsidR="00214AB4" w:rsidRDefault="00214AB4" w:rsidP="00214AB4">
      <w:pPr>
        <w:rPr>
          <w:rFonts w:cstheme="minorHAnsi"/>
        </w:rPr>
      </w:pPr>
    </w:p>
    <w:p w14:paraId="2CBBA834" w14:textId="77777777" w:rsidR="00214AB4" w:rsidRPr="00552B26" w:rsidRDefault="00214AB4" w:rsidP="00214AB4">
      <w:pPr>
        <w:pStyle w:val="ListParagraph"/>
        <w:numPr>
          <w:ilvl w:val="0"/>
          <w:numId w:val="6"/>
        </w:numPr>
        <w:rPr>
          <w:rFonts w:cstheme="minorHAnsi"/>
        </w:rPr>
      </w:pPr>
      <w:r w:rsidRPr="00552B26">
        <w:rPr>
          <w:rFonts w:cstheme="minorHAnsi"/>
        </w:rPr>
        <w:t>Management of Care</w:t>
      </w:r>
    </w:p>
    <w:p w14:paraId="36308BB0" w14:textId="77777777" w:rsidR="00214AB4" w:rsidRPr="00552B26" w:rsidRDefault="00214AB4" w:rsidP="00214AB4">
      <w:pPr>
        <w:pStyle w:val="ListParagraph"/>
        <w:numPr>
          <w:ilvl w:val="0"/>
          <w:numId w:val="6"/>
        </w:numPr>
        <w:rPr>
          <w:rFonts w:cstheme="minorHAnsi"/>
        </w:rPr>
      </w:pPr>
      <w:r w:rsidRPr="00552B26">
        <w:rPr>
          <w:rFonts w:cstheme="minorHAnsi"/>
        </w:rPr>
        <w:t>Safety and Infection Control</w:t>
      </w:r>
    </w:p>
    <w:p w14:paraId="7F6BACA2" w14:textId="77777777" w:rsidR="00214AB4" w:rsidRPr="00552B26" w:rsidRDefault="00214AB4" w:rsidP="00214AB4">
      <w:pPr>
        <w:pStyle w:val="ListParagraph"/>
        <w:numPr>
          <w:ilvl w:val="0"/>
          <w:numId w:val="6"/>
        </w:numPr>
        <w:rPr>
          <w:rFonts w:cstheme="minorHAnsi"/>
        </w:rPr>
      </w:pPr>
      <w:r w:rsidRPr="00552B26">
        <w:rPr>
          <w:rFonts w:cstheme="minorHAnsi"/>
        </w:rPr>
        <w:t>Nursing Throughout the Lifespan</w:t>
      </w:r>
    </w:p>
    <w:p w14:paraId="60CAD0EA" w14:textId="77777777" w:rsidR="00214AB4" w:rsidRPr="00552B26" w:rsidRDefault="00214AB4" w:rsidP="00214AB4">
      <w:pPr>
        <w:pStyle w:val="ListParagraph"/>
        <w:numPr>
          <w:ilvl w:val="0"/>
          <w:numId w:val="6"/>
        </w:numPr>
        <w:rPr>
          <w:rFonts w:cstheme="minorHAnsi"/>
        </w:rPr>
      </w:pPr>
      <w:r w:rsidRPr="00552B26">
        <w:rPr>
          <w:rFonts w:cstheme="minorHAnsi"/>
        </w:rPr>
        <w:t>Health Assessment/Data Collection</w:t>
      </w:r>
    </w:p>
    <w:p w14:paraId="5FBD89D5" w14:textId="77777777" w:rsidR="00214AB4" w:rsidRPr="00552B26" w:rsidRDefault="00214AB4" w:rsidP="00214AB4">
      <w:pPr>
        <w:pStyle w:val="ListParagraph"/>
        <w:numPr>
          <w:ilvl w:val="0"/>
          <w:numId w:val="6"/>
        </w:numPr>
        <w:rPr>
          <w:rFonts w:cstheme="minorHAnsi"/>
        </w:rPr>
      </w:pPr>
      <w:r w:rsidRPr="00552B26">
        <w:rPr>
          <w:rFonts w:cstheme="minorHAnsi"/>
        </w:rPr>
        <w:t>Psychosocial Integrity</w:t>
      </w:r>
    </w:p>
    <w:p w14:paraId="055D8EA5" w14:textId="77777777" w:rsidR="00214AB4" w:rsidRPr="00552B26" w:rsidRDefault="00214AB4" w:rsidP="00214AB4">
      <w:pPr>
        <w:pStyle w:val="ListParagraph"/>
        <w:numPr>
          <w:ilvl w:val="0"/>
          <w:numId w:val="6"/>
        </w:numPr>
        <w:rPr>
          <w:rFonts w:cstheme="minorHAnsi"/>
        </w:rPr>
      </w:pPr>
      <w:r w:rsidRPr="00552B26">
        <w:rPr>
          <w:rFonts w:cstheme="minorHAnsi"/>
        </w:rPr>
        <w:t>Basic Care and Comfort</w:t>
      </w:r>
    </w:p>
    <w:p w14:paraId="7135F062" w14:textId="77777777" w:rsidR="00214AB4" w:rsidRPr="00552B26" w:rsidRDefault="00214AB4" w:rsidP="00214AB4">
      <w:pPr>
        <w:pStyle w:val="ListParagraph"/>
        <w:numPr>
          <w:ilvl w:val="0"/>
          <w:numId w:val="6"/>
        </w:numPr>
        <w:rPr>
          <w:rFonts w:cstheme="minorHAnsi"/>
        </w:rPr>
      </w:pPr>
      <w:r w:rsidRPr="00552B26">
        <w:rPr>
          <w:rFonts w:cstheme="minorHAnsi"/>
        </w:rPr>
        <w:t>Pharmacological and Parenteral Therapies</w:t>
      </w:r>
    </w:p>
    <w:p w14:paraId="3D53D264" w14:textId="77777777" w:rsidR="00214AB4" w:rsidRPr="00552B26" w:rsidRDefault="00214AB4" w:rsidP="00214AB4">
      <w:pPr>
        <w:pStyle w:val="ListParagraph"/>
        <w:numPr>
          <w:ilvl w:val="0"/>
          <w:numId w:val="6"/>
        </w:numPr>
        <w:rPr>
          <w:rFonts w:cstheme="minorHAnsi"/>
        </w:rPr>
      </w:pPr>
      <w:r w:rsidRPr="00552B26">
        <w:rPr>
          <w:rFonts w:cstheme="minorHAnsi"/>
        </w:rPr>
        <w:t>Reduction of Risk Potential</w:t>
      </w:r>
    </w:p>
    <w:p w14:paraId="53BB2AA8" w14:textId="77777777" w:rsidR="00214AB4" w:rsidRPr="00552B26" w:rsidRDefault="00214AB4" w:rsidP="00214AB4">
      <w:pPr>
        <w:pStyle w:val="ListParagraph"/>
        <w:numPr>
          <w:ilvl w:val="0"/>
          <w:numId w:val="6"/>
        </w:numPr>
        <w:rPr>
          <w:rFonts w:cstheme="minorHAnsi"/>
        </w:rPr>
      </w:pPr>
      <w:r w:rsidRPr="00552B26">
        <w:rPr>
          <w:rFonts w:cstheme="minorHAnsi"/>
        </w:rPr>
        <w:t>Physiological Adaptation</w:t>
      </w:r>
    </w:p>
    <w:p w14:paraId="4E605130" w14:textId="77777777" w:rsidR="00214AB4" w:rsidRDefault="00214AB4" w:rsidP="00214AB4">
      <w:pPr>
        <w:rPr>
          <w:rFonts w:cstheme="minorHAnsi"/>
        </w:rPr>
      </w:pPr>
    </w:p>
    <w:p w14:paraId="60177654" w14:textId="77777777" w:rsidR="001067B8" w:rsidRDefault="00214AB4" w:rsidP="00214AB4">
      <w:r>
        <w:rPr>
          <w:color w:val="000000"/>
          <w:shd w:val="clear" w:color="auto" w:fill="FFFFFF"/>
        </w:rPr>
        <w:t>The Associate in Applied Science (AAS) Nursing Program at Mohawk Valley Community College at the Utica Campus, located in Utica, New York, is accredited by: Accreditation Commission for Education in Nursing (ACEN) (3390 Peachtree Road, NE, Suite 1400, Atlanta, Georgia 30326. Telephone: 404-975-5000, Fax: 404-975-5020, website: www.acenursing.org, email: </w:t>
      </w:r>
      <w:hyperlink r:id="rId5" w:tgtFrame="_blank" w:history="1">
        <w:r>
          <w:rPr>
            <w:rStyle w:val="Hyperlink"/>
            <w:color w:val="0563C1"/>
            <w:shd w:val="clear" w:color="auto" w:fill="FFFFFF"/>
          </w:rPr>
          <w:t>info@acenursing.org</w:t>
        </w:r>
      </w:hyperlink>
      <w:r>
        <w:rPr>
          <w:color w:val="000000"/>
          <w:shd w:val="clear" w:color="auto" w:fill="FFFFFF"/>
        </w:rPr>
        <w:t>),  The most recent accreditation decision made by the ACEN Board of Commissioners for the Associate in Applied Science (A.S.S.) degree nursing program is Continuing Accreditation.  The nursing program is registered by the New York State Educ</w:t>
      </w:r>
    </w:p>
    <w:sectPr w:rsidR="0010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230CED4"/>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3BCC2F7B"/>
    <w:multiLevelType w:val="hybridMultilevel"/>
    <w:tmpl w:val="6AE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801EF"/>
    <w:multiLevelType w:val="hybridMultilevel"/>
    <w:tmpl w:val="AADA019C"/>
    <w:lvl w:ilvl="0" w:tplc="D5A6F89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92C6C"/>
    <w:multiLevelType w:val="hybridMultilevel"/>
    <w:tmpl w:val="E0AE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3183D"/>
    <w:multiLevelType w:val="hybridMultilevel"/>
    <w:tmpl w:val="DE2A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1707C"/>
    <w:multiLevelType w:val="hybridMultilevel"/>
    <w:tmpl w:val="440E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827179">
    <w:abstractNumId w:val="4"/>
  </w:num>
  <w:num w:numId="2" w16cid:durableId="1079256749">
    <w:abstractNumId w:val="0"/>
    <w:lvlOverride w:ilvl="0">
      <w:startOverride w:val="1"/>
      <w:lvl w:ilvl="0">
        <w:start w:val="1"/>
        <w:numFmt w:val="decimal"/>
        <w:pStyle w:val="Quick1"/>
        <w:lvlText w:val="%1."/>
        <w:lvlJc w:val="left"/>
        <w:rPr>
          <w:rFonts w:ascii="Times New Roman" w:eastAsia="Times New Roman" w:hAnsi="Times New Roman" w:cs="Times New Roman"/>
        </w:rPr>
      </w:lvl>
    </w:lvlOverride>
  </w:num>
  <w:num w:numId="3" w16cid:durableId="357464168">
    <w:abstractNumId w:val="5"/>
  </w:num>
  <w:num w:numId="4" w16cid:durableId="1889224540">
    <w:abstractNumId w:val="1"/>
  </w:num>
  <w:num w:numId="5" w16cid:durableId="160125776">
    <w:abstractNumId w:val="3"/>
  </w:num>
  <w:num w:numId="6" w16cid:durableId="1027485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B4"/>
    <w:rsid w:val="001067B8"/>
    <w:rsid w:val="00214AB4"/>
    <w:rsid w:val="008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677"/>
  <w15:chartTrackingRefBased/>
  <w15:docId w15:val="{6438074F-FC97-431D-BFF1-599FF18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B4"/>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B4"/>
    <w:pPr>
      <w:ind w:left="720"/>
      <w:contextualSpacing/>
    </w:pPr>
  </w:style>
  <w:style w:type="paragraph" w:customStyle="1" w:styleId="WPNormal">
    <w:name w:val="WP_Normal"/>
    <w:basedOn w:val="Normal"/>
    <w:rsid w:val="00214AB4"/>
    <w:pPr>
      <w:spacing w:after="0" w:line="240" w:lineRule="auto"/>
    </w:pPr>
    <w:rPr>
      <w:rFonts w:ascii="Monaco" w:eastAsia="Times New Roman" w:hAnsi="Monaco" w:cs="Times New Roman"/>
      <w:sz w:val="24"/>
      <w:szCs w:val="20"/>
    </w:rPr>
  </w:style>
  <w:style w:type="paragraph" w:customStyle="1" w:styleId="Quick1">
    <w:name w:val="Quick 1."/>
    <w:basedOn w:val="Normal"/>
    <w:rsid w:val="00214AB4"/>
    <w:pPr>
      <w:widowControl w:val="0"/>
      <w:numPr>
        <w:numId w:val="2"/>
      </w:numPr>
      <w:spacing w:after="0" w:line="240" w:lineRule="auto"/>
      <w:ind w:left="72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214AB4"/>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cenur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Norayne Rosero</dc:creator>
  <cp:keywords/>
  <dc:description/>
  <cp:lastModifiedBy>Melissa Golbach</cp:lastModifiedBy>
  <cp:revision>2</cp:revision>
  <dcterms:created xsi:type="dcterms:W3CDTF">2021-01-04T13:34:00Z</dcterms:created>
  <dcterms:modified xsi:type="dcterms:W3CDTF">2023-02-02T19:10:00Z</dcterms:modified>
</cp:coreProperties>
</file>