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BEB" w14:textId="77777777" w:rsidR="00F762A7" w:rsidRPr="00F762A7" w:rsidRDefault="00F762A7" w:rsidP="00F762A7">
      <w:pPr>
        <w:jc w:val="center"/>
        <w:rPr>
          <w:rFonts w:cstheme="minorHAnsi"/>
          <w:b/>
          <w:sz w:val="28"/>
        </w:rPr>
      </w:pPr>
      <w:r w:rsidRPr="00F762A7">
        <w:rPr>
          <w:rFonts w:cstheme="minorHAnsi"/>
          <w:b/>
          <w:sz w:val="28"/>
        </w:rPr>
        <w:t>MOHAWK VALLEY COMMUNITY COLLEGE, UTICA-ROME, NY</w:t>
      </w:r>
    </w:p>
    <w:p w14:paraId="6F6DC367" w14:textId="77777777" w:rsidR="00F762A7" w:rsidRPr="00F762A7" w:rsidRDefault="00F762A7" w:rsidP="00F762A7">
      <w:pPr>
        <w:jc w:val="center"/>
        <w:rPr>
          <w:rFonts w:cstheme="minorHAnsi"/>
          <w:b/>
          <w:sz w:val="28"/>
        </w:rPr>
      </w:pPr>
      <w:r w:rsidRPr="00F762A7">
        <w:rPr>
          <w:rFonts w:cstheme="minorHAnsi"/>
          <w:b/>
          <w:sz w:val="28"/>
        </w:rPr>
        <w:t>SCHOOL OF HEALTH SCIENCES</w:t>
      </w:r>
    </w:p>
    <w:p w14:paraId="373BC367" w14:textId="77777777" w:rsidR="00F762A7" w:rsidRDefault="00F762A7" w:rsidP="00F762A7">
      <w:pPr>
        <w:jc w:val="center"/>
        <w:rPr>
          <w:rFonts w:cstheme="minorHAnsi"/>
          <w:b/>
          <w:sz w:val="28"/>
        </w:rPr>
      </w:pPr>
      <w:r w:rsidRPr="00F762A7">
        <w:rPr>
          <w:rFonts w:cstheme="minorHAnsi"/>
          <w:b/>
          <w:sz w:val="28"/>
        </w:rPr>
        <w:t>COURSE OUTLINE</w:t>
      </w:r>
    </w:p>
    <w:p w14:paraId="71357287" w14:textId="2B4CAAA8" w:rsidR="003845DC" w:rsidRPr="00B1165B" w:rsidRDefault="003845DC" w:rsidP="00F762A7">
      <w:pPr>
        <w:jc w:val="center"/>
        <w:rPr>
          <w:rFonts w:cstheme="minorHAnsi"/>
          <w:b/>
        </w:rPr>
      </w:pPr>
      <w:r>
        <w:rPr>
          <w:rFonts w:cstheme="minorHAnsi"/>
          <w:b/>
          <w:sz w:val="28"/>
        </w:rPr>
        <w:t>NU102 – Nursing 2A</w:t>
      </w: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3845DC" w:rsidRPr="00B1165B" w14:paraId="3E490757" w14:textId="77777777" w:rsidTr="002A3389">
        <w:tc>
          <w:tcPr>
            <w:tcW w:w="1500" w:type="dxa"/>
          </w:tcPr>
          <w:p w14:paraId="2A779A15"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Total Credit Hours</w:t>
            </w:r>
          </w:p>
        </w:tc>
        <w:tc>
          <w:tcPr>
            <w:tcW w:w="1568" w:type="dxa"/>
          </w:tcPr>
          <w:p w14:paraId="495EE6FA"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Credit Hours</w:t>
            </w:r>
          </w:p>
        </w:tc>
        <w:tc>
          <w:tcPr>
            <w:tcW w:w="1569" w:type="dxa"/>
          </w:tcPr>
          <w:p w14:paraId="58CFEC5F"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Didactic Contact Hours</w:t>
            </w:r>
          </w:p>
        </w:tc>
        <w:tc>
          <w:tcPr>
            <w:tcW w:w="1500" w:type="dxa"/>
          </w:tcPr>
          <w:p w14:paraId="3BABD366"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Credit Hours</w:t>
            </w:r>
          </w:p>
        </w:tc>
        <w:tc>
          <w:tcPr>
            <w:tcW w:w="1558" w:type="dxa"/>
          </w:tcPr>
          <w:p w14:paraId="49D9D68E"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Lab Contact Hours</w:t>
            </w:r>
          </w:p>
        </w:tc>
        <w:tc>
          <w:tcPr>
            <w:tcW w:w="1537" w:type="dxa"/>
          </w:tcPr>
          <w:p w14:paraId="4508F202"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Credit Hours</w:t>
            </w:r>
          </w:p>
        </w:tc>
        <w:tc>
          <w:tcPr>
            <w:tcW w:w="1558" w:type="dxa"/>
          </w:tcPr>
          <w:p w14:paraId="03390A33"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Clinical Contact Hours.</w:t>
            </w:r>
          </w:p>
        </w:tc>
      </w:tr>
      <w:tr w:rsidR="003845DC" w:rsidRPr="00B1165B" w14:paraId="40B40E7C" w14:textId="77777777" w:rsidTr="002A3389">
        <w:tc>
          <w:tcPr>
            <w:tcW w:w="1500" w:type="dxa"/>
          </w:tcPr>
          <w:p w14:paraId="12AB7305"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4</w:t>
            </w:r>
          </w:p>
        </w:tc>
        <w:tc>
          <w:tcPr>
            <w:tcW w:w="1568" w:type="dxa"/>
          </w:tcPr>
          <w:p w14:paraId="56684C33"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2</w:t>
            </w:r>
          </w:p>
        </w:tc>
        <w:tc>
          <w:tcPr>
            <w:tcW w:w="1569" w:type="dxa"/>
          </w:tcPr>
          <w:p w14:paraId="7A402201"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2</w:t>
            </w:r>
          </w:p>
        </w:tc>
        <w:tc>
          <w:tcPr>
            <w:tcW w:w="1500" w:type="dxa"/>
          </w:tcPr>
          <w:p w14:paraId="09658CA2" w14:textId="77777777" w:rsidR="003845DC" w:rsidRPr="004F1F7C" w:rsidRDefault="003845DC" w:rsidP="002A3389">
            <w:pPr>
              <w:rPr>
                <w:rFonts w:eastAsia="Times New Roman" w:cstheme="minorHAnsi"/>
                <w:color w:val="212121"/>
                <w:sz w:val="23"/>
                <w:szCs w:val="23"/>
              </w:rPr>
            </w:pPr>
            <w:r w:rsidRPr="004F1F7C">
              <w:rPr>
                <w:rFonts w:eastAsia="Times New Roman" w:cstheme="minorHAnsi"/>
                <w:b/>
                <w:bCs/>
                <w:color w:val="212121"/>
                <w:sz w:val="24"/>
                <w:szCs w:val="24"/>
              </w:rPr>
              <w:t> </w:t>
            </w:r>
          </w:p>
        </w:tc>
        <w:tc>
          <w:tcPr>
            <w:tcW w:w="1558" w:type="dxa"/>
          </w:tcPr>
          <w:p w14:paraId="17D0D787" w14:textId="77777777" w:rsidR="003845DC" w:rsidRPr="004F1F7C" w:rsidRDefault="003845DC" w:rsidP="002A3389">
            <w:pPr>
              <w:rPr>
                <w:rFonts w:eastAsia="Times New Roman" w:cstheme="minorHAnsi"/>
                <w:color w:val="212121"/>
                <w:sz w:val="23"/>
                <w:szCs w:val="23"/>
              </w:rPr>
            </w:pPr>
            <w:r w:rsidRPr="004F1F7C">
              <w:rPr>
                <w:rFonts w:eastAsia="Times New Roman" w:cstheme="minorHAnsi"/>
                <w:color w:val="212121"/>
                <w:sz w:val="20"/>
                <w:szCs w:val="20"/>
              </w:rPr>
              <w:t> </w:t>
            </w:r>
          </w:p>
        </w:tc>
        <w:tc>
          <w:tcPr>
            <w:tcW w:w="1537" w:type="dxa"/>
          </w:tcPr>
          <w:p w14:paraId="41E9241E"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2</w:t>
            </w:r>
          </w:p>
        </w:tc>
        <w:tc>
          <w:tcPr>
            <w:tcW w:w="1558" w:type="dxa"/>
          </w:tcPr>
          <w:p w14:paraId="281B7714" w14:textId="77777777" w:rsidR="003845DC" w:rsidRPr="004F1F7C" w:rsidRDefault="003845DC" w:rsidP="002A3389">
            <w:pPr>
              <w:jc w:val="center"/>
              <w:rPr>
                <w:rFonts w:eastAsia="Times New Roman" w:cstheme="minorHAnsi"/>
                <w:color w:val="212121"/>
                <w:sz w:val="23"/>
                <w:szCs w:val="23"/>
              </w:rPr>
            </w:pPr>
            <w:r w:rsidRPr="004F1F7C">
              <w:rPr>
                <w:rFonts w:eastAsia="Times New Roman" w:cstheme="minorHAnsi"/>
                <w:b/>
                <w:bCs/>
                <w:color w:val="212121"/>
                <w:sz w:val="20"/>
                <w:szCs w:val="20"/>
              </w:rPr>
              <w:t>4</w:t>
            </w:r>
          </w:p>
        </w:tc>
      </w:tr>
    </w:tbl>
    <w:p w14:paraId="569C8B2E" w14:textId="77777777" w:rsidR="003845DC" w:rsidRPr="004F1F7C" w:rsidRDefault="003845DC" w:rsidP="003845DC">
      <w:pPr>
        <w:shd w:val="clear" w:color="auto" w:fill="FFFFFF"/>
        <w:spacing w:after="0" w:line="240" w:lineRule="auto"/>
        <w:ind w:hanging="90"/>
        <w:rPr>
          <w:rFonts w:eastAsia="Times New Roman" w:cstheme="minorHAnsi"/>
          <w:color w:val="212121"/>
          <w:sz w:val="23"/>
          <w:szCs w:val="23"/>
        </w:rPr>
      </w:pPr>
    </w:p>
    <w:p w14:paraId="4E943F46" w14:textId="77777777" w:rsidR="003845DC" w:rsidRPr="00B1165B" w:rsidRDefault="003845DC" w:rsidP="003845DC">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COURSE-SPECIFIC PREREQUISITES/CO-REQUISITES</w:t>
      </w:r>
    </w:p>
    <w:p w14:paraId="284C38EC" w14:textId="77777777" w:rsidR="003845DC" w:rsidRPr="00621244" w:rsidRDefault="003845DC" w:rsidP="003845DC">
      <w:pPr>
        <w:shd w:val="clear" w:color="auto" w:fill="FFFFFF"/>
        <w:spacing w:after="0" w:line="240" w:lineRule="auto"/>
        <w:rPr>
          <w:rFonts w:eastAsia="Times New Roman" w:cstheme="minorHAnsi"/>
          <w:color w:val="212121"/>
          <w:sz w:val="24"/>
          <w:szCs w:val="24"/>
        </w:rPr>
      </w:pPr>
      <w:r w:rsidRPr="00621244">
        <w:rPr>
          <w:rFonts w:eastAsia="Times New Roman" w:cstheme="minorHAnsi"/>
          <w:b/>
          <w:color w:val="212121"/>
          <w:sz w:val="24"/>
          <w:szCs w:val="24"/>
        </w:rPr>
        <w:t>Prerequisites</w:t>
      </w:r>
    </w:p>
    <w:p w14:paraId="0F307D12" w14:textId="77777777" w:rsidR="003845DC" w:rsidRPr="00621244" w:rsidRDefault="003845DC" w:rsidP="003845DC">
      <w:pPr>
        <w:pStyle w:val="ListParagraph"/>
        <w:numPr>
          <w:ilvl w:val="0"/>
          <w:numId w:val="2"/>
        </w:numPr>
        <w:shd w:val="clear" w:color="auto" w:fill="FFFFFF"/>
        <w:spacing w:after="0" w:line="240" w:lineRule="auto"/>
        <w:rPr>
          <w:rFonts w:eastAsia="Times New Roman" w:cstheme="minorHAnsi"/>
          <w:color w:val="212121"/>
          <w:sz w:val="24"/>
          <w:szCs w:val="24"/>
        </w:rPr>
      </w:pPr>
      <w:r w:rsidRPr="00621244">
        <w:rPr>
          <w:rFonts w:eastAsia="Times New Roman" w:cstheme="minorHAnsi"/>
          <w:color w:val="212121"/>
          <w:sz w:val="24"/>
          <w:szCs w:val="24"/>
        </w:rPr>
        <w:t>NU101 Nursing 1 (with a minimum grade of 75)</w:t>
      </w:r>
    </w:p>
    <w:p w14:paraId="523ACC04" w14:textId="77777777" w:rsidR="003845DC" w:rsidRPr="00621244" w:rsidRDefault="003845DC" w:rsidP="003845DC">
      <w:pPr>
        <w:pStyle w:val="ListParagraph"/>
        <w:numPr>
          <w:ilvl w:val="0"/>
          <w:numId w:val="2"/>
        </w:numPr>
        <w:shd w:val="clear" w:color="auto" w:fill="FFFFFF"/>
        <w:spacing w:after="0" w:line="240" w:lineRule="auto"/>
        <w:rPr>
          <w:rFonts w:eastAsia="Times New Roman" w:cstheme="minorHAnsi"/>
          <w:color w:val="212121"/>
          <w:sz w:val="24"/>
          <w:szCs w:val="24"/>
        </w:rPr>
      </w:pPr>
      <w:r w:rsidRPr="00621244">
        <w:rPr>
          <w:rFonts w:eastAsia="Times New Roman" w:cstheme="minorHAnsi"/>
          <w:color w:val="212121"/>
          <w:sz w:val="24"/>
          <w:szCs w:val="24"/>
        </w:rPr>
        <w:t>NU111 Nursing Pharmacotherapeutics 1 (with a minimum grade of 75) BI106 Human Anatomy &amp; Physiology 1 (with a minimum grade of 70)</w:t>
      </w:r>
    </w:p>
    <w:p w14:paraId="34B1A34D" w14:textId="77777777" w:rsidR="003845DC" w:rsidRPr="00621244" w:rsidRDefault="003845DC" w:rsidP="003845DC">
      <w:pPr>
        <w:shd w:val="clear" w:color="auto" w:fill="FFFFFF"/>
        <w:spacing w:after="0" w:line="240" w:lineRule="auto"/>
        <w:rPr>
          <w:rFonts w:eastAsia="Times New Roman" w:cstheme="minorHAnsi"/>
          <w:color w:val="212121"/>
          <w:sz w:val="24"/>
          <w:szCs w:val="24"/>
        </w:rPr>
      </w:pPr>
    </w:p>
    <w:p w14:paraId="1DD27F64" w14:textId="77777777" w:rsidR="003845DC" w:rsidRPr="00621244" w:rsidRDefault="003845DC" w:rsidP="003845DC">
      <w:pPr>
        <w:shd w:val="clear" w:color="auto" w:fill="FFFFFF"/>
        <w:spacing w:after="0" w:line="240" w:lineRule="auto"/>
        <w:rPr>
          <w:rFonts w:eastAsia="Times New Roman" w:cstheme="minorHAnsi"/>
          <w:color w:val="212121"/>
          <w:sz w:val="24"/>
          <w:szCs w:val="24"/>
        </w:rPr>
      </w:pPr>
      <w:r w:rsidRPr="00621244">
        <w:rPr>
          <w:rFonts w:eastAsia="Times New Roman" w:cstheme="minorHAnsi"/>
          <w:b/>
          <w:color w:val="212121"/>
          <w:sz w:val="24"/>
          <w:szCs w:val="24"/>
        </w:rPr>
        <w:t>Corequisites</w:t>
      </w:r>
      <w:r w:rsidRPr="00621244">
        <w:rPr>
          <w:rFonts w:eastAsia="Times New Roman" w:cstheme="minorHAnsi"/>
          <w:color w:val="212121"/>
          <w:sz w:val="24"/>
          <w:szCs w:val="24"/>
        </w:rPr>
        <w:tab/>
      </w:r>
    </w:p>
    <w:p w14:paraId="2F6DDE92" w14:textId="77777777" w:rsidR="003845DC"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4"/>
        </w:rPr>
      </w:pPr>
      <w:r w:rsidRPr="00621244">
        <w:rPr>
          <w:rFonts w:eastAsia="Times New Roman" w:cstheme="minorHAnsi"/>
          <w:color w:val="212121"/>
          <w:sz w:val="24"/>
          <w:szCs w:val="24"/>
        </w:rPr>
        <w:t>BI107 Human Anatomy &amp; Physiology 2</w:t>
      </w:r>
    </w:p>
    <w:p w14:paraId="25004635" w14:textId="77777777" w:rsidR="003845DC" w:rsidRPr="00621244" w:rsidRDefault="003845DC" w:rsidP="003845DC">
      <w:pPr>
        <w:shd w:val="clear" w:color="auto" w:fill="FFFFFF"/>
        <w:spacing w:after="0" w:line="240" w:lineRule="auto"/>
        <w:rPr>
          <w:rFonts w:eastAsia="Times New Roman" w:cstheme="minorHAnsi"/>
          <w:color w:val="212121"/>
          <w:sz w:val="24"/>
          <w:szCs w:val="24"/>
        </w:rPr>
      </w:pPr>
    </w:p>
    <w:p w14:paraId="16921774" w14:textId="77777777" w:rsidR="003845DC" w:rsidRPr="00621244" w:rsidRDefault="003845DC" w:rsidP="003845DC">
      <w:pPr>
        <w:shd w:val="clear" w:color="auto" w:fill="FFFFFF"/>
        <w:spacing w:after="120" w:line="240" w:lineRule="auto"/>
        <w:rPr>
          <w:rFonts w:eastAsia="Times New Roman" w:cstheme="minorHAnsi"/>
          <w:b/>
          <w:color w:val="212121"/>
          <w:szCs w:val="23"/>
        </w:rPr>
      </w:pPr>
      <w:r w:rsidRPr="00621244">
        <w:rPr>
          <w:rFonts w:eastAsia="Times New Roman" w:cstheme="minorHAnsi"/>
          <w:b/>
          <w:color w:val="000000"/>
          <w:sz w:val="24"/>
          <w:szCs w:val="28"/>
        </w:rPr>
        <w:t>COURSE DESCRIPTION</w:t>
      </w:r>
    </w:p>
    <w:p w14:paraId="7D9A7974" w14:textId="77777777" w:rsidR="003845DC" w:rsidRDefault="003845DC" w:rsidP="003845DC">
      <w:pPr>
        <w:shd w:val="clear" w:color="auto" w:fill="FFFFFF"/>
        <w:spacing w:after="0" w:line="240" w:lineRule="auto"/>
        <w:rPr>
          <w:rFonts w:cstheme="minorHAnsi"/>
          <w:sz w:val="24"/>
        </w:rPr>
      </w:pPr>
      <w:r w:rsidRPr="00621244">
        <w:rPr>
          <w:rFonts w:cstheme="minorHAnsi"/>
          <w:sz w:val="24"/>
        </w:rPr>
        <w:t>This course focuses on the physical, physiological, cultural, spiritual, and psychological needs experienced by the expanding family during pregnancy, labor, delivery, and postpartum periods. The nursing process, Maslow’s Hierarchy of Needs theory, and critical thinking are integrated to meet the needs of the family in the perinatal cycle. Clinical experiences are provided in general hospital units and community agencies.</w:t>
      </w:r>
    </w:p>
    <w:p w14:paraId="2A325FD0" w14:textId="77777777" w:rsidR="003845DC" w:rsidRPr="00621244" w:rsidRDefault="003845DC" w:rsidP="003845DC">
      <w:pPr>
        <w:shd w:val="clear" w:color="auto" w:fill="FFFFFF"/>
        <w:spacing w:after="0" w:line="240" w:lineRule="auto"/>
        <w:rPr>
          <w:rFonts w:eastAsia="Times New Roman" w:cstheme="minorHAnsi"/>
          <w:color w:val="212121"/>
          <w:sz w:val="24"/>
          <w:szCs w:val="23"/>
        </w:rPr>
      </w:pPr>
    </w:p>
    <w:p w14:paraId="69926E06" w14:textId="77777777" w:rsidR="003845DC" w:rsidRPr="00621244" w:rsidRDefault="003845DC" w:rsidP="003845DC">
      <w:pPr>
        <w:shd w:val="clear" w:color="auto" w:fill="FFFFFF"/>
        <w:spacing w:after="120" w:line="240" w:lineRule="auto"/>
        <w:rPr>
          <w:rFonts w:eastAsia="Times New Roman" w:cstheme="minorHAnsi"/>
          <w:color w:val="212121"/>
          <w:sz w:val="23"/>
          <w:szCs w:val="23"/>
        </w:rPr>
      </w:pPr>
      <w:r w:rsidRPr="00621244">
        <w:rPr>
          <w:rFonts w:eastAsia="Times New Roman" w:cstheme="minorHAnsi"/>
          <w:b/>
          <w:color w:val="000000"/>
          <w:sz w:val="24"/>
          <w:szCs w:val="28"/>
        </w:rPr>
        <w:t>COURSE OBJECTIVES/OUTCOMES</w:t>
      </w:r>
    </w:p>
    <w:p w14:paraId="3193D69D" w14:textId="77777777" w:rsidR="003845DC" w:rsidRPr="00621244" w:rsidRDefault="003845DC" w:rsidP="003845DC">
      <w:pPr>
        <w:pStyle w:val="BodyText"/>
        <w:spacing w:after="120"/>
        <w:ind w:left="360"/>
        <w:rPr>
          <w:rFonts w:asciiTheme="minorHAnsi" w:hAnsiTheme="minorHAnsi" w:cstheme="minorHAnsi"/>
          <w:sz w:val="24"/>
        </w:rPr>
      </w:pPr>
      <w:r w:rsidRPr="00621244">
        <w:rPr>
          <w:rFonts w:asciiTheme="minorHAnsi" w:hAnsiTheme="minorHAnsi" w:cstheme="minorHAnsi"/>
          <w:sz w:val="24"/>
        </w:rPr>
        <w:t>Upon successful completion of the NU102 course, the student will be able to:</w:t>
      </w:r>
    </w:p>
    <w:p w14:paraId="0F9D173C"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Explain the physiologic and psychosocial adaptations of the childbearing family throughout the childbearing cycle.</w:t>
      </w:r>
    </w:p>
    <w:p w14:paraId="1891163E"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Apply theoretical knowledge related to the physiologic and psychosocial needs of the maternal/newborn clients and their families throughout the prenatal, intrapartum and post-partum</w:t>
      </w:r>
      <w:r w:rsidRPr="00621244">
        <w:rPr>
          <w:rFonts w:cstheme="minorHAnsi"/>
          <w:spacing w:val="-9"/>
          <w:sz w:val="24"/>
        </w:rPr>
        <w:t xml:space="preserve"> </w:t>
      </w:r>
      <w:r w:rsidRPr="00621244">
        <w:rPr>
          <w:rFonts w:cstheme="minorHAnsi"/>
          <w:sz w:val="24"/>
        </w:rPr>
        <w:t>period.</w:t>
      </w:r>
    </w:p>
    <w:p w14:paraId="110EF9E8"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Use the nursing process to formulate, implement, evaluate and modify individualized plans of nursing care for the maternal/newborn clients and their families utilizing Maslow’s Hierarchy of Basic Human</w:t>
      </w:r>
      <w:r w:rsidRPr="00621244">
        <w:rPr>
          <w:rFonts w:cstheme="minorHAnsi"/>
          <w:spacing w:val="-14"/>
          <w:sz w:val="24"/>
        </w:rPr>
        <w:t xml:space="preserve"> </w:t>
      </w:r>
      <w:r w:rsidRPr="00621244">
        <w:rPr>
          <w:rFonts w:cstheme="minorHAnsi"/>
          <w:sz w:val="24"/>
        </w:rPr>
        <w:t>Needs.</w:t>
      </w:r>
    </w:p>
    <w:p w14:paraId="0695E14C"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Perform nursing skills accurately and safely while providing care to the maternal/newborn</w:t>
      </w:r>
      <w:r w:rsidRPr="00621244">
        <w:rPr>
          <w:rFonts w:cstheme="minorHAnsi"/>
          <w:spacing w:val="-24"/>
          <w:sz w:val="24"/>
        </w:rPr>
        <w:t xml:space="preserve"> </w:t>
      </w:r>
      <w:r w:rsidRPr="00621244">
        <w:rPr>
          <w:rFonts w:cstheme="minorHAnsi"/>
          <w:sz w:val="24"/>
        </w:rPr>
        <w:t>client.</w:t>
      </w:r>
    </w:p>
    <w:p w14:paraId="3EF0D3F0"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Differentiate between the normal and abnormal assessment findings of the</w:t>
      </w:r>
      <w:r w:rsidRPr="00621244">
        <w:rPr>
          <w:rFonts w:cstheme="minorHAnsi"/>
          <w:spacing w:val="-8"/>
          <w:sz w:val="24"/>
        </w:rPr>
        <w:t xml:space="preserve"> </w:t>
      </w:r>
      <w:r w:rsidRPr="00621244">
        <w:rPr>
          <w:rFonts w:cstheme="minorHAnsi"/>
          <w:sz w:val="24"/>
        </w:rPr>
        <w:t>neonate.</w:t>
      </w:r>
    </w:p>
    <w:p w14:paraId="37FF61EC"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Address the learning needs of the childbearing family related to health promotion and</w:t>
      </w:r>
      <w:r w:rsidRPr="00621244">
        <w:rPr>
          <w:rFonts w:cstheme="minorHAnsi"/>
          <w:spacing w:val="-19"/>
          <w:sz w:val="24"/>
        </w:rPr>
        <w:t xml:space="preserve"> </w:t>
      </w:r>
      <w:r w:rsidRPr="00621244">
        <w:rPr>
          <w:rFonts w:cstheme="minorHAnsi"/>
          <w:sz w:val="24"/>
        </w:rPr>
        <w:lastRenderedPageBreak/>
        <w:t>prevention.</w:t>
      </w:r>
    </w:p>
    <w:p w14:paraId="5B5C7C5D"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Use technology appropriately in the collection of maternal and newborn data</w:t>
      </w:r>
      <w:r w:rsidRPr="00621244">
        <w:rPr>
          <w:rFonts w:cstheme="minorHAnsi"/>
          <w:spacing w:val="-10"/>
          <w:sz w:val="24"/>
        </w:rPr>
        <w:t xml:space="preserve"> </w:t>
      </w:r>
      <w:r w:rsidRPr="00621244">
        <w:rPr>
          <w:rFonts w:cstheme="minorHAnsi"/>
          <w:sz w:val="24"/>
        </w:rPr>
        <w:t>assessment.</w:t>
      </w:r>
    </w:p>
    <w:p w14:paraId="061BEFA1" w14:textId="77777777" w:rsidR="003845DC" w:rsidRPr="00621244" w:rsidRDefault="003845DC" w:rsidP="003845DC">
      <w:pPr>
        <w:pStyle w:val="ListParagraph"/>
        <w:widowControl w:val="0"/>
        <w:numPr>
          <w:ilvl w:val="1"/>
          <w:numId w:val="1"/>
        </w:numPr>
        <w:tabs>
          <w:tab w:val="left" w:pos="859"/>
          <w:tab w:val="left" w:pos="860"/>
        </w:tabs>
        <w:autoSpaceDE w:val="0"/>
        <w:autoSpaceDN w:val="0"/>
        <w:spacing w:after="0" w:line="240" w:lineRule="auto"/>
        <w:ind w:left="720"/>
        <w:contextualSpacing w:val="0"/>
        <w:rPr>
          <w:rFonts w:cstheme="minorHAnsi"/>
          <w:sz w:val="24"/>
        </w:rPr>
      </w:pPr>
      <w:r w:rsidRPr="00621244">
        <w:rPr>
          <w:rFonts w:cstheme="minorHAnsi"/>
          <w:sz w:val="24"/>
        </w:rPr>
        <w:t>Use therapeutic communication when interacting and/or communicating with clients, families and members of the health care</w:t>
      </w:r>
      <w:r w:rsidRPr="00621244">
        <w:rPr>
          <w:rFonts w:cstheme="minorHAnsi"/>
          <w:spacing w:val="-3"/>
          <w:sz w:val="24"/>
        </w:rPr>
        <w:t xml:space="preserve"> </w:t>
      </w:r>
      <w:r w:rsidRPr="00621244">
        <w:rPr>
          <w:rFonts w:cstheme="minorHAnsi"/>
          <w:sz w:val="24"/>
        </w:rPr>
        <w:t>team.</w:t>
      </w:r>
    </w:p>
    <w:p w14:paraId="78C49FEB" w14:textId="77777777" w:rsidR="003845DC" w:rsidRPr="00621244" w:rsidRDefault="003845DC" w:rsidP="003845DC">
      <w:pPr>
        <w:pStyle w:val="ListParagraph"/>
        <w:numPr>
          <w:ilvl w:val="1"/>
          <w:numId w:val="1"/>
        </w:numPr>
        <w:shd w:val="clear" w:color="auto" w:fill="FFFFFF"/>
        <w:spacing w:after="0" w:line="240" w:lineRule="auto"/>
        <w:ind w:left="720"/>
        <w:rPr>
          <w:rFonts w:eastAsia="Times New Roman" w:cstheme="minorHAnsi"/>
          <w:color w:val="212121"/>
          <w:sz w:val="24"/>
          <w:szCs w:val="23"/>
        </w:rPr>
      </w:pPr>
      <w:r w:rsidRPr="00621244">
        <w:rPr>
          <w:rFonts w:cstheme="minorHAnsi"/>
          <w:sz w:val="24"/>
        </w:rPr>
        <w:t>Apply ethical, legal and professional standards in nursing</w:t>
      </w:r>
      <w:r w:rsidRPr="00621244">
        <w:rPr>
          <w:rFonts w:cstheme="minorHAnsi"/>
          <w:spacing w:val="-13"/>
          <w:sz w:val="24"/>
        </w:rPr>
        <w:t xml:space="preserve"> </w:t>
      </w:r>
      <w:r w:rsidRPr="00621244">
        <w:rPr>
          <w:rFonts w:cstheme="minorHAnsi"/>
          <w:sz w:val="24"/>
        </w:rPr>
        <w:t>practice.</w:t>
      </w:r>
    </w:p>
    <w:p w14:paraId="2A37EF90" w14:textId="77777777" w:rsidR="003845DC" w:rsidRPr="00621244" w:rsidRDefault="003845DC" w:rsidP="003845DC">
      <w:pPr>
        <w:pStyle w:val="ListParagraph"/>
        <w:shd w:val="clear" w:color="auto" w:fill="FFFFFF"/>
        <w:spacing w:after="0" w:line="240" w:lineRule="auto"/>
        <w:ind w:left="336"/>
        <w:rPr>
          <w:rFonts w:eastAsia="Times New Roman" w:cstheme="minorHAnsi"/>
          <w:color w:val="212121"/>
          <w:sz w:val="24"/>
          <w:szCs w:val="23"/>
        </w:rPr>
      </w:pPr>
    </w:p>
    <w:p w14:paraId="3EEE1E16" w14:textId="77777777" w:rsidR="003845DC" w:rsidRPr="00621244" w:rsidRDefault="003845DC" w:rsidP="003845DC">
      <w:pPr>
        <w:shd w:val="clear" w:color="auto" w:fill="FFFFFF"/>
        <w:spacing w:after="120" w:line="240" w:lineRule="auto"/>
        <w:rPr>
          <w:rFonts w:eastAsia="Times New Roman" w:cstheme="minorHAnsi"/>
          <w:color w:val="212121"/>
          <w:sz w:val="23"/>
          <w:szCs w:val="23"/>
        </w:rPr>
      </w:pPr>
      <w:r w:rsidRPr="00B1165B">
        <w:rPr>
          <w:rFonts w:eastAsia="Times New Roman" w:cstheme="minorHAnsi"/>
          <w:b/>
          <w:color w:val="000000"/>
          <w:sz w:val="24"/>
          <w:szCs w:val="28"/>
        </w:rPr>
        <w:t>METHODS OF EVALUATION (including information regarding how each contributes to the overall course grade)</w:t>
      </w:r>
    </w:p>
    <w:p w14:paraId="5005035D" w14:textId="77777777" w:rsidR="003845DC" w:rsidRPr="00621244" w:rsidRDefault="003845DC" w:rsidP="003845DC">
      <w:pPr>
        <w:shd w:val="clear" w:color="auto" w:fill="FFFFFF"/>
        <w:spacing w:after="120" w:line="240" w:lineRule="auto"/>
        <w:rPr>
          <w:rFonts w:eastAsia="Times New Roman" w:cstheme="minorHAnsi"/>
          <w:color w:val="212121"/>
          <w:sz w:val="24"/>
          <w:szCs w:val="23"/>
        </w:rPr>
      </w:pPr>
      <w:r w:rsidRPr="00621244">
        <w:rPr>
          <w:rFonts w:eastAsia="Times New Roman" w:cstheme="minorHAnsi"/>
          <w:color w:val="212121"/>
          <w:sz w:val="24"/>
          <w:szCs w:val="23"/>
        </w:rPr>
        <w:t>The course student learning outcomes will be evaluated based on the following methods:</w:t>
      </w:r>
    </w:p>
    <w:p w14:paraId="6B5EEAAA"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Exams (2 @ 28%) – 56%</w:t>
      </w:r>
    </w:p>
    <w:p w14:paraId="335D5A78"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Comprehensive Final Exam – 34%</w:t>
      </w:r>
    </w:p>
    <w:p w14:paraId="1F6477DA"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ATI RN Maternal Newborn series – 10%</w:t>
      </w:r>
    </w:p>
    <w:p w14:paraId="6C5699E5"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Dosage Calculation Test – Pass/Fail (must achieve ≥80%)</w:t>
      </w:r>
    </w:p>
    <w:p w14:paraId="515ACCC4"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Group teaching project – Pass/Fail (must achieve 75% per rubric)</w:t>
      </w:r>
    </w:p>
    <w:p w14:paraId="236E6EAB"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Clinical – Pass/Fail (must achieve ≥75%)</w:t>
      </w:r>
    </w:p>
    <w:p w14:paraId="5E986C70" w14:textId="77777777" w:rsidR="003845DC" w:rsidRPr="00621244" w:rsidRDefault="003845DC" w:rsidP="003845DC">
      <w:pPr>
        <w:pStyle w:val="ListParagraph"/>
        <w:numPr>
          <w:ilvl w:val="0"/>
          <w:numId w:val="3"/>
        </w:num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Community Events – Pass/Fail</w:t>
      </w:r>
    </w:p>
    <w:p w14:paraId="1884E81F" w14:textId="77777777" w:rsidR="003845DC" w:rsidRPr="00621244" w:rsidRDefault="003845DC" w:rsidP="003845DC">
      <w:pPr>
        <w:shd w:val="clear" w:color="auto" w:fill="FFFFFF"/>
        <w:spacing w:after="0" w:line="240" w:lineRule="auto"/>
        <w:rPr>
          <w:rFonts w:eastAsia="Times New Roman" w:cstheme="minorHAnsi"/>
          <w:color w:val="212121"/>
          <w:sz w:val="24"/>
          <w:szCs w:val="23"/>
        </w:rPr>
      </w:pPr>
    </w:p>
    <w:p w14:paraId="3DC9A229" w14:textId="77777777" w:rsidR="003845DC" w:rsidRDefault="003845DC" w:rsidP="003845DC">
      <w:pPr>
        <w:shd w:val="clear" w:color="auto" w:fill="FFFFFF"/>
        <w:spacing w:after="0" w:line="240" w:lineRule="auto"/>
        <w:rPr>
          <w:rFonts w:eastAsia="Times New Roman" w:cstheme="minorHAnsi"/>
          <w:color w:val="212121"/>
          <w:sz w:val="24"/>
          <w:szCs w:val="23"/>
        </w:rPr>
      </w:pPr>
      <w:r w:rsidRPr="00621244">
        <w:rPr>
          <w:rFonts w:eastAsia="Times New Roman" w:cstheme="minorHAnsi"/>
          <w:color w:val="212121"/>
          <w:sz w:val="24"/>
          <w:szCs w:val="23"/>
        </w:rPr>
        <w:t>A passing grade for the NU102 course is dependent on satisfactory completion of all course requirements.</w:t>
      </w:r>
    </w:p>
    <w:p w14:paraId="7B5EE1DF" w14:textId="77777777" w:rsidR="003845DC" w:rsidRPr="00621244" w:rsidRDefault="003845DC" w:rsidP="003845DC">
      <w:pPr>
        <w:shd w:val="clear" w:color="auto" w:fill="FFFFFF"/>
        <w:spacing w:after="0" w:line="240" w:lineRule="auto"/>
        <w:rPr>
          <w:rFonts w:eastAsia="Times New Roman" w:cstheme="minorHAnsi"/>
          <w:color w:val="212121"/>
          <w:sz w:val="24"/>
          <w:szCs w:val="23"/>
        </w:rPr>
      </w:pPr>
    </w:p>
    <w:p w14:paraId="020C2632" w14:textId="77777777" w:rsidR="003845DC" w:rsidRPr="00621244" w:rsidRDefault="003845DC" w:rsidP="003845DC">
      <w:pPr>
        <w:shd w:val="clear" w:color="auto" w:fill="FFFFFF"/>
        <w:spacing w:after="0" w:line="240" w:lineRule="auto"/>
        <w:rPr>
          <w:rFonts w:eastAsia="Times New Roman" w:cstheme="minorHAnsi"/>
          <w:color w:val="000000"/>
          <w:sz w:val="24"/>
          <w:szCs w:val="24"/>
        </w:rPr>
      </w:pPr>
      <w:r w:rsidRPr="00B1165B">
        <w:rPr>
          <w:rFonts w:eastAsia="Times New Roman" w:cstheme="minorHAnsi"/>
          <w:b/>
          <w:color w:val="000000"/>
          <w:sz w:val="24"/>
          <w:szCs w:val="28"/>
        </w:rPr>
        <w:t>TOPICAL OUTLINE FOR COURSE CONTENT</w:t>
      </w:r>
    </w:p>
    <w:p w14:paraId="2721FB25" w14:textId="77777777" w:rsidR="003845DC" w:rsidRDefault="003845DC" w:rsidP="003845DC">
      <w:pPr>
        <w:rPr>
          <w:rFonts w:eastAsia="Times New Roman" w:cstheme="minorHAnsi"/>
          <w:color w:val="000000"/>
          <w:sz w:val="24"/>
          <w:szCs w:val="24"/>
        </w:rPr>
      </w:pPr>
    </w:p>
    <w:p w14:paraId="5DAC9003" w14:textId="77777777" w:rsidR="003845DC" w:rsidRPr="005D4D2C" w:rsidRDefault="003845DC" w:rsidP="003845DC">
      <w:pPr>
        <w:numPr>
          <w:ilvl w:val="0"/>
          <w:numId w:val="4"/>
        </w:numPr>
        <w:rPr>
          <w:rFonts w:eastAsia="Times New Roman" w:cstheme="minorHAnsi"/>
          <w:color w:val="000000"/>
          <w:sz w:val="24"/>
          <w:szCs w:val="24"/>
        </w:rPr>
      </w:pPr>
      <w:r w:rsidRPr="005D4D2C">
        <w:rPr>
          <w:rFonts w:eastAsia="Times New Roman" w:cstheme="minorHAnsi"/>
          <w:color w:val="000000"/>
          <w:sz w:val="24"/>
          <w:szCs w:val="24"/>
        </w:rPr>
        <w:t>Human Reproduction</w:t>
      </w:r>
    </w:p>
    <w:p w14:paraId="401D9E34" w14:textId="77777777" w:rsidR="003845DC" w:rsidRPr="005D4D2C" w:rsidRDefault="003845DC" w:rsidP="003845DC">
      <w:pPr>
        <w:numPr>
          <w:ilvl w:val="0"/>
          <w:numId w:val="4"/>
        </w:numPr>
        <w:rPr>
          <w:rFonts w:eastAsia="Times New Roman" w:cstheme="minorHAnsi"/>
          <w:color w:val="000000"/>
          <w:sz w:val="24"/>
          <w:szCs w:val="24"/>
        </w:rPr>
      </w:pPr>
      <w:r w:rsidRPr="005D4D2C">
        <w:rPr>
          <w:rFonts w:eastAsia="Times New Roman" w:cstheme="minorHAnsi"/>
          <w:color w:val="000000"/>
          <w:sz w:val="24"/>
          <w:szCs w:val="24"/>
        </w:rPr>
        <w:t>Changes During Pregnancy</w:t>
      </w:r>
    </w:p>
    <w:p w14:paraId="4B4B05EF" w14:textId="77777777" w:rsidR="003845DC" w:rsidRPr="005D4D2C" w:rsidRDefault="003845DC" w:rsidP="003845DC">
      <w:pPr>
        <w:numPr>
          <w:ilvl w:val="0"/>
          <w:numId w:val="4"/>
        </w:numPr>
        <w:rPr>
          <w:rFonts w:eastAsia="Times New Roman" w:cstheme="minorHAnsi"/>
          <w:color w:val="000000"/>
          <w:sz w:val="24"/>
          <w:szCs w:val="24"/>
        </w:rPr>
      </w:pPr>
      <w:r w:rsidRPr="005D4D2C">
        <w:rPr>
          <w:rFonts w:eastAsia="Times New Roman" w:cstheme="minorHAnsi"/>
          <w:color w:val="000000"/>
          <w:sz w:val="24"/>
          <w:szCs w:val="24"/>
        </w:rPr>
        <w:t>Complications of Pregnancy</w:t>
      </w:r>
    </w:p>
    <w:p w14:paraId="182F81E3" w14:textId="77777777" w:rsidR="003845DC" w:rsidRPr="005D4D2C" w:rsidRDefault="003845DC" w:rsidP="003845DC">
      <w:pPr>
        <w:numPr>
          <w:ilvl w:val="0"/>
          <w:numId w:val="4"/>
        </w:numPr>
        <w:rPr>
          <w:rFonts w:eastAsia="Times New Roman" w:cstheme="minorHAnsi"/>
          <w:color w:val="000000"/>
          <w:sz w:val="24"/>
          <w:szCs w:val="24"/>
        </w:rPr>
      </w:pPr>
      <w:r w:rsidRPr="005D4D2C">
        <w:rPr>
          <w:rFonts w:eastAsia="Times New Roman" w:cstheme="minorHAnsi"/>
          <w:color w:val="000000"/>
          <w:sz w:val="24"/>
          <w:szCs w:val="24"/>
        </w:rPr>
        <w:t>Labor and Delivery</w:t>
      </w:r>
    </w:p>
    <w:p w14:paraId="71968FB1" w14:textId="77777777" w:rsidR="003845DC" w:rsidRPr="005D4D2C" w:rsidRDefault="003845DC" w:rsidP="003845DC">
      <w:pPr>
        <w:numPr>
          <w:ilvl w:val="0"/>
          <w:numId w:val="4"/>
        </w:numPr>
        <w:rPr>
          <w:rFonts w:eastAsia="Times New Roman" w:cstheme="minorHAnsi"/>
          <w:color w:val="000000"/>
          <w:sz w:val="24"/>
          <w:szCs w:val="24"/>
        </w:rPr>
      </w:pPr>
      <w:r w:rsidRPr="005D4D2C">
        <w:rPr>
          <w:rFonts w:eastAsia="Times New Roman" w:cstheme="minorHAnsi"/>
          <w:color w:val="000000"/>
          <w:sz w:val="24"/>
          <w:szCs w:val="24"/>
        </w:rPr>
        <w:t>Complications of Labor and Delivery</w:t>
      </w:r>
    </w:p>
    <w:p w14:paraId="38137C47" w14:textId="77777777" w:rsidR="003845DC" w:rsidRPr="005D4D2C" w:rsidRDefault="003845DC" w:rsidP="003845DC">
      <w:pPr>
        <w:numPr>
          <w:ilvl w:val="0"/>
          <w:numId w:val="5"/>
        </w:numPr>
        <w:rPr>
          <w:rFonts w:eastAsia="Times New Roman" w:cstheme="minorHAnsi"/>
          <w:color w:val="000000"/>
          <w:sz w:val="24"/>
          <w:szCs w:val="24"/>
        </w:rPr>
      </w:pPr>
      <w:r w:rsidRPr="005D4D2C">
        <w:rPr>
          <w:rFonts w:eastAsia="Times New Roman" w:cstheme="minorHAnsi"/>
          <w:color w:val="000000"/>
          <w:sz w:val="24"/>
          <w:szCs w:val="24"/>
        </w:rPr>
        <w:t>Routine Postpartum Care</w:t>
      </w:r>
    </w:p>
    <w:p w14:paraId="5E9376C0" w14:textId="77777777" w:rsidR="003845DC" w:rsidRPr="005D4D2C" w:rsidRDefault="003845DC" w:rsidP="003845DC">
      <w:pPr>
        <w:numPr>
          <w:ilvl w:val="0"/>
          <w:numId w:val="5"/>
        </w:numPr>
        <w:rPr>
          <w:rFonts w:eastAsia="Times New Roman" w:cstheme="minorHAnsi"/>
          <w:color w:val="000000"/>
          <w:sz w:val="24"/>
          <w:szCs w:val="24"/>
        </w:rPr>
      </w:pPr>
      <w:r w:rsidRPr="005D4D2C">
        <w:rPr>
          <w:rFonts w:eastAsia="Times New Roman" w:cstheme="minorHAnsi"/>
          <w:color w:val="000000"/>
          <w:sz w:val="24"/>
          <w:szCs w:val="24"/>
        </w:rPr>
        <w:t>Complications of the Postpartum Period</w:t>
      </w:r>
    </w:p>
    <w:p w14:paraId="5A3F7E1D" w14:textId="77777777" w:rsidR="003845DC" w:rsidRPr="005D4D2C" w:rsidRDefault="003845DC" w:rsidP="003845DC">
      <w:pPr>
        <w:numPr>
          <w:ilvl w:val="0"/>
          <w:numId w:val="5"/>
        </w:numPr>
        <w:rPr>
          <w:rFonts w:eastAsia="Times New Roman" w:cstheme="minorHAnsi"/>
          <w:color w:val="000000"/>
          <w:sz w:val="24"/>
          <w:szCs w:val="24"/>
        </w:rPr>
      </w:pPr>
      <w:r w:rsidRPr="005D4D2C">
        <w:rPr>
          <w:rFonts w:eastAsia="Times New Roman" w:cstheme="minorHAnsi"/>
          <w:color w:val="000000"/>
          <w:sz w:val="24"/>
          <w:szCs w:val="24"/>
        </w:rPr>
        <w:t>Low-Risk Newborn Care</w:t>
      </w:r>
    </w:p>
    <w:p w14:paraId="50D5FA9F" w14:textId="77777777" w:rsidR="003845DC" w:rsidRDefault="003845DC" w:rsidP="003845DC">
      <w:pPr>
        <w:numPr>
          <w:ilvl w:val="0"/>
          <w:numId w:val="5"/>
        </w:numPr>
        <w:rPr>
          <w:rFonts w:eastAsia="Times New Roman" w:cstheme="minorHAnsi"/>
          <w:color w:val="000000"/>
          <w:sz w:val="24"/>
          <w:szCs w:val="24"/>
        </w:rPr>
      </w:pPr>
      <w:r w:rsidRPr="005D4D2C">
        <w:rPr>
          <w:rFonts w:eastAsia="Times New Roman" w:cstheme="minorHAnsi"/>
          <w:color w:val="000000"/>
          <w:sz w:val="24"/>
          <w:szCs w:val="24"/>
        </w:rPr>
        <w:t>Complications of the Newborn</w:t>
      </w:r>
    </w:p>
    <w:p w14:paraId="3BFC88AB" w14:textId="77777777" w:rsidR="003845DC" w:rsidRDefault="003845DC" w:rsidP="003845DC">
      <w:pPr>
        <w:rPr>
          <w:rFonts w:eastAsia="Times New Roman" w:cstheme="minorHAnsi"/>
          <w:color w:val="000000"/>
          <w:sz w:val="24"/>
          <w:szCs w:val="24"/>
        </w:rPr>
      </w:pPr>
    </w:p>
    <w:p w14:paraId="6213D8F8" w14:textId="77777777" w:rsidR="003845DC" w:rsidRPr="005D4D2C" w:rsidRDefault="003845DC" w:rsidP="003845DC">
      <w:pPr>
        <w:rPr>
          <w:rFonts w:eastAsia="Times New Roman" w:cstheme="minorHAnsi"/>
          <w:color w:val="000000"/>
          <w:sz w:val="24"/>
          <w:szCs w:val="24"/>
        </w:rPr>
      </w:pPr>
    </w:p>
    <w:p w14:paraId="2E777B8F" w14:textId="77777777" w:rsidR="001067B8" w:rsidRPr="003845DC" w:rsidRDefault="003845DC">
      <w:pPr>
        <w:rPr>
          <w:rFonts w:eastAsia="Times New Roman" w:cstheme="minorHAnsi"/>
          <w:color w:val="000000"/>
          <w:sz w:val="24"/>
          <w:szCs w:val="24"/>
        </w:rPr>
      </w:pPr>
      <w:r>
        <w:rPr>
          <w:color w:val="000000"/>
          <w:shd w:val="clear" w:color="auto" w:fill="FFFFFF"/>
        </w:rPr>
        <w:lastRenderedPageBreak/>
        <w:t>The Associate in Applied Science (AAS) Nursing Program at Mohawk Valley Community College at the Utica Campus, located in Utica, New York, is accredited by: Accreditation Commission for Education in 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Education Department, Office of the Professions.</w:t>
      </w:r>
    </w:p>
    <w:sectPr w:rsidR="001067B8" w:rsidRPr="00384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2BC1"/>
    <w:multiLevelType w:val="hybridMultilevel"/>
    <w:tmpl w:val="91E8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A3564"/>
    <w:multiLevelType w:val="hybridMultilevel"/>
    <w:tmpl w:val="2B421270"/>
    <w:lvl w:ilvl="0" w:tplc="E0F84C8E">
      <w:start w:val="1"/>
      <w:numFmt w:val="upperRoman"/>
      <w:lvlText w:val="%1."/>
      <w:lvlJc w:val="left"/>
      <w:pPr>
        <w:ind w:left="336" w:hanging="197"/>
      </w:pPr>
      <w:rPr>
        <w:rFonts w:ascii="Times New Roman" w:eastAsia="Times New Roman" w:hAnsi="Times New Roman" w:cs="Times New Roman" w:hint="default"/>
        <w:b/>
        <w:bCs/>
        <w:w w:val="100"/>
        <w:sz w:val="22"/>
        <w:szCs w:val="22"/>
      </w:rPr>
    </w:lvl>
    <w:lvl w:ilvl="1" w:tplc="CC9E74AE">
      <w:start w:val="1"/>
      <w:numFmt w:val="decimal"/>
      <w:lvlText w:val="%2."/>
      <w:lvlJc w:val="left"/>
      <w:pPr>
        <w:ind w:left="860" w:hanging="360"/>
      </w:pPr>
      <w:rPr>
        <w:rFonts w:ascii="Calibri" w:eastAsia="Times New Roman" w:hAnsi="Calibri" w:cs="Times New Roman" w:hint="default"/>
        <w:spacing w:val="0"/>
        <w:w w:val="99"/>
        <w:sz w:val="24"/>
        <w:szCs w:val="20"/>
      </w:rPr>
    </w:lvl>
    <w:lvl w:ilvl="2" w:tplc="2990030C">
      <w:numFmt w:val="bullet"/>
      <w:lvlText w:val="•"/>
      <w:lvlJc w:val="left"/>
      <w:pPr>
        <w:ind w:left="2004" w:hanging="360"/>
      </w:pPr>
      <w:rPr>
        <w:rFonts w:hint="default"/>
      </w:rPr>
    </w:lvl>
    <w:lvl w:ilvl="3" w:tplc="4372F9DA">
      <w:numFmt w:val="bullet"/>
      <w:lvlText w:val="•"/>
      <w:lvlJc w:val="left"/>
      <w:pPr>
        <w:ind w:left="3148" w:hanging="360"/>
      </w:pPr>
      <w:rPr>
        <w:rFonts w:hint="default"/>
      </w:rPr>
    </w:lvl>
    <w:lvl w:ilvl="4" w:tplc="A4E0A74E">
      <w:numFmt w:val="bullet"/>
      <w:lvlText w:val="•"/>
      <w:lvlJc w:val="left"/>
      <w:pPr>
        <w:ind w:left="4293" w:hanging="360"/>
      </w:pPr>
      <w:rPr>
        <w:rFonts w:hint="default"/>
      </w:rPr>
    </w:lvl>
    <w:lvl w:ilvl="5" w:tplc="CD90901A">
      <w:numFmt w:val="bullet"/>
      <w:lvlText w:val="•"/>
      <w:lvlJc w:val="left"/>
      <w:pPr>
        <w:ind w:left="5437" w:hanging="360"/>
      </w:pPr>
      <w:rPr>
        <w:rFonts w:hint="default"/>
      </w:rPr>
    </w:lvl>
    <w:lvl w:ilvl="6" w:tplc="DED2D2F0">
      <w:numFmt w:val="bullet"/>
      <w:lvlText w:val="•"/>
      <w:lvlJc w:val="left"/>
      <w:pPr>
        <w:ind w:left="6582" w:hanging="360"/>
      </w:pPr>
      <w:rPr>
        <w:rFonts w:hint="default"/>
      </w:rPr>
    </w:lvl>
    <w:lvl w:ilvl="7" w:tplc="DD5480AC">
      <w:numFmt w:val="bullet"/>
      <w:lvlText w:val="•"/>
      <w:lvlJc w:val="left"/>
      <w:pPr>
        <w:ind w:left="7726" w:hanging="360"/>
      </w:pPr>
      <w:rPr>
        <w:rFonts w:hint="default"/>
      </w:rPr>
    </w:lvl>
    <w:lvl w:ilvl="8" w:tplc="DAEC1688">
      <w:numFmt w:val="bullet"/>
      <w:lvlText w:val="•"/>
      <w:lvlJc w:val="left"/>
      <w:pPr>
        <w:ind w:left="8871" w:hanging="360"/>
      </w:pPr>
      <w:rPr>
        <w:rFonts w:hint="default"/>
      </w:rPr>
    </w:lvl>
  </w:abstractNum>
  <w:abstractNum w:abstractNumId="2" w15:restartNumberingAfterBreak="0">
    <w:nsid w:val="1981310A"/>
    <w:multiLevelType w:val="multilevel"/>
    <w:tmpl w:val="116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3E1A6D"/>
    <w:multiLevelType w:val="hybridMultilevel"/>
    <w:tmpl w:val="DA2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DC61D7"/>
    <w:multiLevelType w:val="multilevel"/>
    <w:tmpl w:val="64707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0798343">
    <w:abstractNumId w:val="1"/>
  </w:num>
  <w:num w:numId="2" w16cid:durableId="951862318">
    <w:abstractNumId w:val="3"/>
  </w:num>
  <w:num w:numId="3" w16cid:durableId="1645431453">
    <w:abstractNumId w:val="0"/>
  </w:num>
  <w:num w:numId="4" w16cid:durableId="1261841841">
    <w:abstractNumId w:val="2"/>
  </w:num>
  <w:num w:numId="5" w16cid:durableId="12000511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5DC"/>
    <w:rsid w:val="001067B8"/>
    <w:rsid w:val="003845DC"/>
    <w:rsid w:val="00F7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53D14"/>
  <w15:chartTrackingRefBased/>
  <w15:docId w15:val="{D556D32B-E402-4ECE-A9A6-42D2422D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5DC"/>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DC"/>
    <w:pPr>
      <w:ind w:left="720"/>
      <w:contextualSpacing/>
    </w:pPr>
  </w:style>
  <w:style w:type="paragraph" w:styleId="BodyText">
    <w:name w:val="Body Text"/>
    <w:basedOn w:val="Normal"/>
    <w:link w:val="BodyTextChar"/>
    <w:uiPriority w:val="1"/>
    <w:qFormat/>
    <w:rsid w:val="003845DC"/>
    <w:pPr>
      <w:widowControl w:val="0"/>
      <w:spacing w:after="0" w:line="240" w:lineRule="auto"/>
      <w:ind w:left="1599" w:hanging="360"/>
    </w:pPr>
    <w:rPr>
      <w:rFonts w:ascii="Times New Roman" w:eastAsia="Times New Roman" w:hAnsi="Times New Roman"/>
    </w:rPr>
  </w:style>
  <w:style w:type="character" w:customStyle="1" w:styleId="BodyTextChar">
    <w:name w:val="Body Text Char"/>
    <w:basedOn w:val="DefaultParagraphFont"/>
    <w:link w:val="BodyText"/>
    <w:uiPriority w:val="1"/>
    <w:rsid w:val="003845DC"/>
    <w:rPr>
      <w:rFonts w:ascii="Times New Roman" w:eastAsia="Times New Roman" w:hAnsi="Times New Roman" w:cstheme="minorBidi"/>
      <w:sz w:val="22"/>
      <w:szCs w:val="22"/>
    </w:rPr>
  </w:style>
  <w:style w:type="table" w:styleId="TableGrid">
    <w:name w:val="Table Grid"/>
    <w:basedOn w:val="TableNormal"/>
    <w:uiPriority w:val="39"/>
    <w:rsid w:val="003845DC"/>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845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3196</Characters>
  <Application>Microsoft Office Word</Application>
  <DocSecurity>0</DocSecurity>
  <Lines>26</Lines>
  <Paragraphs>7</Paragraphs>
  <ScaleCrop>false</ScaleCrop>
  <Company>MVCC</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2021-01-04T13:36:00Z</dcterms:created>
  <dcterms:modified xsi:type="dcterms:W3CDTF">2023-02-02T19:10:00Z</dcterms:modified>
</cp:coreProperties>
</file>