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CC27" w14:textId="77777777" w:rsidR="00D044F6" w:rsidRPr="00D044F6" w:rsidRDefault="00D044F6" w:rsidP="00D044F6">
      <w:pPr>
        <w:jc w:val="center"/>
        <w:rPr>
          <w:rFonts w:cstheme="minorHAnsi"/>
          <w:b/>
          <w:sz w:val="28"/>
        </w:rPr>
      </w:pPr>
      <w:r w:rsidRPr="00D044F6">
        <w:rPr>
          <w:rFonts w:cstheme="minorHAnsi"/>
          <w:b/>
          <w:sz w:val="28"/>
        </w:rPr>
        <w:t>MOHAWK VALLEY COMMUNITY COLLEGE, UTICA-ROME, NY</w:t>
      </w:r>
    </w:p>
    <w:p w14:paraId="74ACE54F" w14:textId="77777777" w:rsidR="00D044F6" w:rsidRPr="00D044F6" w:rsidRDefault="00D044F6" w:rsidP="00D044F6">
      <w:pPr>
        <w:jc w:val="center"/>
        <w:rPr>
          <w:rFonts w:cstheme="minorHAnsi"/>
          <w:b/>
          <w:sz w:val="28"/>
        </w:rPr>
      </w:pPr>
      <w:r w:rsidRPr="00D044F6">
        <w:rPr>
          <w:rFonts w:cstheme="minorHAnsi"/>
          <w:b/>
          <w:sz w:val="28"/>
        </w:rPr>
        <w:t>SCHOOL OF HEALTH SCIENCES</w:t>
      </w:r>
    </w:p>
    <w:p w14:paraId="03DD2093" w14:textId="77777777" w:rsidR="00D044F6" w:rsidRDefault="00D044F6" w:rsidP="00D044F6">
      <w:pPr>
        <w:jc w:val="center"/>
        <w:rPr>
          <w:rFonts w:cstheme="minorHAnsi"/>
          <w:b/>
          <w:sz w:val="28"/>
        </w:rPr>
      </w:pPr>
      <w:r w:rsidRPr="00D044F6">
        <w:rPr>
          <w:rFonts w:cstheme="minorHAnsi"/>
          <w:b/>
          <w:sz w:val="28"/>
        </w:rPr>
        <w:t>COURSE OUTLINE</w:t>
      </w:r>
    </w:p>
    <w:p w14:paraId="67D56860" w14:textId="3AA26A84" w:rsidR="0097736B" w:rsidRDefault="0097736B" w:rsidP="00D044F6">
      <w:pPr>
        <w:jc w:val="center"/>
        <w:rPr>
          <w:rFonts w:cstheme="minorHAnsi"/>
          <w:b/>
          <w:sz w:val="28"/>
        </w:rPr>
      </w:pPr>
      <w:r>
        <w:rPr>
          <w:rFonts w:cstheme="minorHAnsi"/>
          <w:b/>
          <w:sz w:val="28"/>
        </w:rPr>
        <w:t>NU111</w:t>
      </w:r>
      <w:r w:rsidRPr="00B1165B">
        <w:rPr>
          <w:rFonts w:cstheme="minorHAnsi"/>
          <w:b/>
          <w:sz w:val="28"/>
        </w:rPr>
        <w:t xml:space="preserve"> </w:t>
      </w:r>
      <w:r>
        <w:rPr>
          <w:rFonts w:cstheme="minorHAnsi"/>
          <w:b/>
          <w:sz w:val="28"/>
        </w:rPr>
        <w:t>– Nursing Pharmacotherapeutics 1</w:t>
      </w:r>
    </w:p>
    <w:tbl>
      <w:tblPr>
        <w:tblStyle w:val="TableGrid"/>
        <w:tblW w:w="0" w:type="auto"/>
        <w:tblLook w:val="04A0" w:firstRow="1" w:lastRow="0" w:firstColumn="1" w:lastColumn="0" w:noHBand="0" w:noVBand="1"/>
      </w:tblPr>
      <w:tblGrid>
        <w:gridCol w:w="1277"/>
        <w:gridCol w:w="1373"/>
        <w:gridCol w:w="1374"/>
        <w:gridCol w:w="1278"/>
        <w:gridCol w:w="1359"/>
        <w:gridCol w:w="1330"/>
        <w:gridCol w:w="1359"/>
      </w:tblGrid>
      <w:tr w:rsidR="0097736B" w:rsidRPr="00B1165B" w14:paraId="010C9E1C" w14:textId="77777777" w:rsidTr="002A3389">
        <w:tc>
          <w:tcPr>
            <w:tcW w:w="1500" w:type="dxa"/>
          </w:tcPr>
          <w:p w14:paraId="011223AA"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Total Credit Hours</w:t>
            </w:r>
          </w:p>
        </w:tc>
        <w:tc>
          <w:tcPr>
            <w:tcW w:w="1568" w:type="dxa"/>
          </w:tcPr>
          <w:p w14:paraId="2FEEDCBE"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Didactic Credit Hours</w:t>
            </w:r>
          </w:p>
        </w:tc>
        <w:tc>
          <w:tcPr>
            <w:tcW w:w="1569" w:type="dxa"/>
          </w:tcPr>
          <w:p w14:paraId="79973066"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Didactic Contact Hours</w:t>
            </w:r>
          </w:p>
        </w:tc>
        <w:tc>
          <w:tcPr>
            <w:tcW w:w="1500" w:type="dxa"/>
          </w:tcPr>
          <w:p w14:paraId="3828BA6B"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Lab Credit Hours</w:t>
            </w:r>
          </w:p>
        </w:tc>
        <w:tc>
          <w:tcPr>
            <w:tcW w:w="1558" w:type="dxa"/>
          </w:tcPr>
          <w:p w14:paraId="0D8478C2"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Lab Contact Hours</w:t>
            </w:r>
          </w:p>
        </w:tc>
        <w:tc>
          <w:tcPr>
            <w:tcW w:w="1537" w:type="dxa"/>
          </w:tcPr>
          <w:p w14:paraId="2E1974CF"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Clinical Credit Hours</w:t>
            </w:r>
          </w:p>
        </w:tc>
        <w:tc>
          <w:tcPr>
            <w:tcW w:w="1558" w:type="dxa"/>
          </w:tcPr>
          <w:p w14:paraId="21A2E3DF"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Clinical Contact Hours.</w:t>
            </w:r>
          </w:p>
        </w:tc>
      </w:tr>
      <w:tr w:rsidR="0097736B" w:rsidRPr="00B1165B" w14:paraId="0764777A" w14:textId="77777777" w:rsidTr="002A3389">
        <w:tc>
          <w:tcPr>
            <w:tcW w:w="1500" w:type="dxa"/>
          </w:tcPr>
          <w:p w14:paraId="5C1A3F35"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1</w:t>
            </w:r>
          </w:p>
        </w:tc>
        <w:tc>
          <w:tcPr>
            <w:tcW w:w="1568" w:type="dxa"/>
          </w:tcPr>
          <w:p w14:paraId="75F7C671"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1 </w:t>
            </w:r>
          </w:p>
        </w:tc>
        <w:tc>
          <w:tcPr>
            <w:tcW w:w="1569" w:type="dxa"/>
          </w:tcPr>
          <w:p w14:paraId="3D84E1D3" w14:textId="77777777" w:rsidR="0097736B" w:rsidRPr="004F1F7C" w:rsidRDefault="0097736B" w:rsidP="002A3389">
            <w:pPr>
              <w:jc w:val="center"/>
              <w:rPr>
                <w:rFonts w:eastAsia="Times New Roman" w:cstheme="minorHAnsi"/>
                <w:color w:val="212121"/>
                <w:sz w:val="23"/>
                <w:szCs w:val="23"/>
              </w:rPr>
            </w:pPr>
            <w:r w:rsidRPr="004F1F7C">
              <w:rPr>
                <w:rFonts w:eastAsia="Times New Roman" w:cstheme="minorHAnsi"/>
                <w:b/>
                <w:bCs/>
                <w:color w:val="212121"/>
                <w:sz w:val="20"/>
                <w:szCs w:val="20"/>
              </w:rPr>
              <w:t>1</w:t>
            </w:r>
          </w:p>
        </w:tc>
        <w:tc>
          <w:tcPr>
            <w:tcW w:w="1500" w:type="dxa"/>
          </w:tcPr>
          <w:p w14:paraId="2DD83066" w14:textId="77777777" w:rsidR="0097736B" w:rsidRPr="004F1F7C" w:rsidRDefault="0097736B" w:rsidP="002A3389">
            <w:pPr>
              <w:rPr>
                <w:rFonts w:eastAsia="Times New Roman" w:cstheme="minorHAnsi"/>
                <w:color w:val="212121"/>
                <w:sz w:val="23"/>
                <w:szCs w:val="23"/>
              </w:rPr>
            </w:pPr>
            <w:r w:rsidRPr="004F1F7C">
              <w:rPr>
                <w:rFonts w:eastAsia="Times New Roman" w:cstheme="minorHAnsi"/>
                <w:color w:val="212121"/>
                <w:sz w:val="24"/>
                <w:szCs w:val="24"/>
              </w:rPr>
              <w:t> </w:t>
            </w:r>
          </w:p>
        </w:tc>
        <w:tc>
          <w:tcPr>
            <w:tcW w:w="1558" w:type="dxa"/>
          </w:tcPr>
          <w:p w14:paraId="59C57D3D" w14:textId="77777777" w:rsidR="0097736B" w:rsidRPr="004F1F7C" w:rsidRDefault="0097736B" w:rsidP="002A3389">
            <w:pPr>
              <w:rPr>
                <w:rFonts w:eastAsia="Times New Roman" w:cstheme="minorHAnsi"/>
                <w:color w:val="212121"/>
                <w:sz w:val="23"/>
                <w:szCs w:val="23"/>
              </w:rPr>
            </w:pPr>
            <w:r w:rsidRPr="004F1F7C">
              <w:rPr>
                <w:rFonts w:eastAsia="Times New Roman" w:cstheme="minorHAnsi"/>
                <w:color w:val="212121"/>
                <w:sz w:val="24"/>
                <w:szCs w:val="24"/>
              </w:rPr>
              <w:t> </w:t>
            </w:r>
          </w:p>
        </w:tc>
        <w:tc>
          <w:tcPr>
            <w:tcW w:w="1537" w:type="dxa"/>
          </w:tcPr>
          <w:p w14:paraId="0862723E" w14:textId="77777777" w:rsidR="0097736B" w:rsidRPr="004F1F7C" w:rsidRDefault="0097736B" w:rsidP="002A3389">
            <w:pPr>
              <w:rPr>
                <w:rFonts w:eastAsia="Times New Roman" w:cstheme="minorHAnsi"/>
                <w:color w:val="212121"/>
                <w:sz w:val="23"/>
                <w:szCs w:val="23"/>
              </w:rPr>
            </w:pPr>
            <w:r w:rsidRPr="004F1F7C">
              <w:rPr>
                <w:rFonts w:eastAsia="Times New Roman" w:cstheme="minorHAnsi"/>
                <w:color w:val="212121"/>
                <w:sz w:val="24"/>
                <w:szCs w:val="24"/>
              </w:rPr>
              <w:t> </w:t>
            </w:r>
          </w:p>
        </w:tc>
        <w:tc>
          <w:tcPr>
            <w:tcW w:w="1558" w:type="dxa"/>
          </w:tcPr>
          <w:p w14:paraId="43C56946" w14:textId="77777777" w:rsidR="0097736B" w:rsidRPr="004F1F7C" w:rsidRDefault="0097736B" w:rsidP="002A3389">
            <w:pPr>
              <w:rPr>
                <w:rFonts w:eastAsia="Times New Roman" w:cstheme="minorHAnsi"/>
                <w:color w:val="212121"/>
                <w:sz w:val="23"/>
                <w:szCs w:val="23"/>
              </w:rPr>
            </w:pPr>
            <w:r w:rsidRPr="004F1F7C">
              <w:rPr>
                <w:rFonts w:eastAsia="Times New Roman" w:cstheme="minorHAnsi"/>
                <w:color w:val="212121"/>
                <w:sz w:val="24"/>
                <w:szCs w:val="24"/>
              </w:rPr>
              <w:t> </w:t>
            </w:r>
          </w:p>
        </w:tc>
      </w:tr>
    </w:tbl>
    <w:p w14:paraId="34483D04" w14:textId="77777777" w:rsidR="0097736B" w:rsidRDefault="0097736B" w:rsidP="0097736B">
      <w:pPr>
        <w:shd w:val="clear" w:color="auto" w:fill="FFFFFF"/>
        <w:spacing w:after="0" w:line="240" w:lineRule="auto"/>
        <w:rPr>
          <w:rFonts w:cstheme="minorHAnsi"/>
        </w:rPr>
      </w:pPr>
    </w:p>
    <w:p w14:paraId="5259970C" w14:textId="77777777" w:rsidR="0097736B" w:rsidRPr="00B1165B" w:rsidRDefault="0097736B" w:rsidP="0097736B">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COURSE-SPECIFIC PREREQUISITES/CO-REQUISITES</w:t>
      </w:r>
    </w:p>
    <w:p w14:paraId="520483F8" w14:textId="77777777" w:rsidR="0097736B" w:rsidRDefault="0097736B" w:rsidP="0097736B">
      <w:pPr>
        <w:shd w:val="clear" w:color="auto" w:fill="FFFFFF"/>
        <w:spacing w:after="0" w:line="240" w:lineRule="auto"/>
        <w:rPr>
          <w:rFonts w:eastAsia="Times New Roman" w:cstheme="minorHAnsi"/>
          <w:color w:val="212121"/>
          <w:sz w:val="23"/>
          <w:szCs w:val="23"/>
        </w:rPr>
      </w:pPr>
      <w:r w:rsidRPr="00B1165B">
        <w:rPr>
          <w:rFonts w:eastAsia="Times New Roman" w:cstheme="minorHAnsi"/>
          <w:b/>
          <w:color w:val="212121"/>
          <w:sz w:val="24"/>
          <w:szCs w:val="23"/>
        </w:rPr>
        <w:t>Prerequisites</w:t>
      </w:r>
    </w:p>
    <w:p w14:paraId="1247AE6B" w14:textId="77777777" w:rsidR="0097736B" w:rsidRPr="00B1165B" w:rsidRDefault="0097736B" w:rsidP="0097736B">
      <w:pPr>
        <w:pStyle w:val="ListParagraph"/>
        <w:numPr>
          <w:ilvl w:val="0"/>
          <w:numId w:val="4"/>
        </w:numPr>
        <w:shd w:val="clear" w:color="auto" w:fill="FFFFFF"/>
        <w:spacing w:after="0" w:line="240" w:lineRule="auto"/>
        <w:rPr>
          <w:rFonts w:eastAsia="Times New Roman" w:cstheme="minorHAnsi"/>
          <w:color w:val="212121"/>
          <w:sz w:val="23"/>
          <w:szCs w:val="23"/>
        </w:rPr>
      </w:pPr>
      <w:r w:rsidRPr="00B1165B">
        <w:rPr>
          <w:rFonts w:eastAsia="Times New Roman" w:cstheme="minorHAnsi"/>
          <w:color w:val="212121"/>
          <w:sz w:val="23"/>
          <w:szCs w:val="23"/>
        </w:rPr>
        <w:t>Required Math Course</w:t>
      </w:r>
    </w:p>
    <w:p w14:paraId="62FAF2DF" w14:textId="77777777" w:rsidR="0097736B" w:rsidRPr="00B1165B" w:rsidRDefault="0097736B" w:rsidP="0097736B">
      <w:pPr>
        <w:shd w:val="clear" w:color="auto" w:fill="FFFFFF"/>
        <w:spacing w:after="0" w:line="240" w:lineRule="auto"/>
        <w:rPr>
          <w:rFonts w:eastAsia="Times New Roman" w:cstheme="minorHAnsi"/>
          <w:color w:val="212121"/>
          <w:sz w:val="23"/>
          <w:szCs w:val="23"/>
        </w:rPr>
      </w:pPr>
    </w:p>
    <w:p w14:paraId="50443119" w14:textId="77777777" w:rsidR="0097736B" w:rsidRDefault="0097736B" w:rsidP="0097736B">
      <w:pPr>
        <w:shd w:val="clear" w:color="auto" w:fill="FFFFFF"/>
        <w:spacing w:after="0" w:line="240" w:lineRule="auto"/>
        <w:rPr>
          <w:rFonts w:eastAsia="Times New Roman" w:cstheme="minorHAnsi"/>
          <w:color w:val="212121"/>
          <w:sz w:val="23"/>
          <w:szCs w:val="23"/>
        </w:rPr>
      </w:pPr>
      <w:r w:rsidRPr="00B1165B">
        <w:rPr>
          <w:rFonts w:eastAsia="Times New Roman" w:cstheme="minorHAnsi"/>
          <w:b/>
          <w:color w:val="212121"/>
          <w:sz w:val="24"/>
          <w:szCs w:val="23"/>
        </w:rPr>
        <w:t>Co-requisites</w:t>
      </w:r>
    </w:p>
    <w:p w14:paraId="631C6EFC" w14:textId="77777777" w:rsidR="0097736B" w:rsidRPr="00B1165B" w:rsidRDefault="0097736B" w:rsidP="0097736B">
      <w:pPr>
        <w:pStyle w:val="ListParagraph"/>
        <w:numPr>
          <w:ilvl w:val="0"/>
          <w:numId w:val="4"/>
        </w:numPr>
        <w:shd w:val="clear" w:color="auto" w:fill="FFFFFF"/>
        <w:spacing w:after="0" w:line="240" w:lineRule="auto"/>
        <w:rPr>
          <w:rFonts w:eastAsia="Times New Roman" w:cstheme="minorHAnsi"/>
          <w:color w:val="212121"/>
          <w:sz w:val="23"/>
          <w:szCs w:val="23"/>
        </w:rPr>
      </w:pPr>
      <w:r w:rsidRPr="00B1165B">
        <w:rPr>
          <w:rFonts w:eastAsia="Times New Roman" w:cstheme="minorHAnsi"/>
          <w:color w:val="212121"/>
          <w:sz w:val="23"/>
          <w:szCs w:val="23"/>
        </w:rPr>
        <w:t xml:space="preserve">NU101 Fundamentals of Nursing </w:t>
      </w:r>
    </w:p>
    <w:p w14:paraId="54DAB0C2" w14:textId="77777777" w:rsidR="0097736B" w:rsidRPr="00B1165B" w:rsidRDefault="0097736B" w:rsidP="0097736B">
      <w:pPr>
        <w:shd w:val="clear" w:color="auto" w:fill="FFFFFF"/>
        <w:spacing w:after="0" w:line="240" w:lineRule="auto"/>
        <w:rPr>
          <w:rFonts w:eastAsia="Times New Roman" w:cstheme="minorHAnsi"/>
          <w:color w:val="212121"/>
          <w:sz w:val="23"/>
          <w:szCs w:val="23"/>
        </w:rPr>
      </w:pPr>
    </w:p>
    <w:p w14:paraId="64BBDBF0" w14:textId="77777777" w:rsidR="0097736B" w:rsidRPr="00B1165B" w:rsidRDefault="0097736B" w:rsidP="0097736B">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COURSE DESCRIPTION</w:t>
      </w:r>
    </w:p>
    <w:p w14:paraId="15F181BF" w14:textId="77777777" w:rsidR="0097736B" w:rsidRDefault="0097736B" w:rsidP="0097736B">
      <w:pPr>
        <w:shd w:val="clear" w:color="auto" w:fill="FFFFFF"/>
        <w:spacing w:after="0" w:line="240" w:lineRule="auto"/>
        <w:rPr>
          <w:rFonts w:cstheme="minorHAnsi"/>
          <w:sz w:val="24"/>
          <w:szCs w:val="24"/>
        </w:rPr>
      </w:pPr>
      <w:r w:rsidRPr="00B1165B">
        <w:rPr>
          <w:rFonts w:cstheme="minorHAnsi"/>
          <w:sz w:val="24"/>
          <w:szCs w:val="24"/>
        </w:rPr>
        <w:t>This course introduces the concepts pertaining to the pharmacodynamics and pharmacokinetics of medications and dosage calculation for medication administration.</w:t>
      </w:r>
    </w:p>
    <w:p w14:paraId="6D0B4404" w14:textId="77777777" w:rsidR="0097736B" w:rsidRPr="00B1165B" w:rsidRDefault="0097736B" w:rsidP="0097736B">
      <w:pPr>
        <w:shd w:val="clear" w:color="auto" w:fill="FFFFFF"/>
        <w:spacing w:after="0" w:line="240" w:lineRule="auto"/>
        <w:rPr>
          <w:rFonts w:eastAsia="Times New Roman" w:cstheme="minorHAnsi"/>
          <w:color w:val="212121"/>
          <w:sz w:val="23"/>
          <w:szCs w:val="23"/>
        </w:rPr>
      </w:pPr>
    </w:p>
    <w:p w14:paraId="643D402B" w14:textId="77777777" w:rsidR="0097736B" w:rsidRPr="00B1165B" w:rsidRDefault="0097736B" w:rsidP="0097736B">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COURSE OBJECTIVES/OUTCOMES</w:t>
      </w:r>
    </w:p>
    <w:p w14:paraId="1CD38F0F" w14:textId="77777777" w:rsidR="0097736B" w:rsidRPr="00B1165B" w:rsidRDefault="0097736B" w:rsidP="0097736B">
      <w:pPr>
        <w:pStyle w:val="WPNormal"/>
        <w:spacing w:after="120"/>
        <w:rPr>
          <w:rFonts w:asciiTheme="minorHAnsi" w:hAnsiTheme="minorHAnsi" w:cstheme="minorHAnsi"/>
        </w:rPr>
      </w:pPr>
      <w:r w:rsidRPr="00B1165B">
        <w:rPr>
          <w:rFonts w:asciiTheme="minorHAnsi" w:hAnsiTheme="minorHAnsi" w:cstheme="minorHAnsi"/>
        </w:rPr>
        <w:t>Upon successful completion of this course, the student will be able to:</w:t>
      </w:r>
    </w:p>
    <w:p w14:paraId="7B23F954" w14:textId="77777777" w:rsidR="0097736B" w:rsidRPr="00B1165B" w:rsidRDefault="0097736B" w:rsidP="0097736B">
      <w:pPr>
        <w:pStyle w:val="ListParagraph"/>
        <w:numPr>
          <w:ilvl w:val="0"/>
          <w:numId w:val="3"/>
        </w:numPr>
        <w:spacing w:after="0" w:line="240" w:lineRule="auto"/>
        <w:contextualSpacing w:val="0"/>
        <w:rPr>
          <w:rFonts w:cstheme="minorHAnsi"/>
          <w:sz w:val="24"/>
          <w:szCs w:val="24"/>
        </w:rPr>
      </w:pPr>
      <w:r w:rsidRPr="00B1165B">
        <w:rPr>
          <w:rFonts w:cstheme="minorHAnsi"/>
          <w:sz w:val="24"/>
          <w:szCs w:val="24"/>
        </w:rPr>
        <w:t xml:space="preserve">Demonstrate accuracy in interpreting medication labels and medication orders </w:t>
      </w:r>
    </w:p>
    <w:p w14:paraId="2E210547" w14:textId="77777777" w:rsidR="0097736B" w:rsidRPr="00B1165B" w:rsidRDefault="0097736B" w:rsidP="0097736B">
      <w:pPr>
        <w:pStyle w:val="ListParagraph"/>
        <w:numPr>
          <w:ilvl w:val="0"/>
          <w:numId w:val="3"/>
        </w:numPr>
        <w:spacing w:after="0" w:line="240" w:lineRule="auto"/>
        <w:contextualSpacing w:val="0"/>
        <w:rPr>
          <w:rFonts w:cstheme="minorHAnsi"/>
          <w:sz w:val="24"/>
          <w:szCs w:val="24"/>
        </w:rPr>
      </w:pPr>
      <w:r w:rsidRPr="00B1165B">
        <w:rPr>
          <w:rFonts w:cstheme="minorHAnsi"/>
          <w:sz w:val="24"/>
          <w:szCs w:val="24"/>
        </w:rPr>
        <w:t xml:space="preserve">Demonstrate methods of calculations for various forms of medications based on ordered dosages. </w:t>
      </w:r>
    </w:p>
    <w:p w14:paraId="43D42EB6" w14:textId="77777777" w:rsidR="0097736B" w:rsidRPr="00B1165B" w:rsidRDefault="0097736B" w:rsidP="0097736B">
      <w:pPr>
        <w:pStyle w:val="ListParagraph"/>
        <w:numPr>
          <w:ilvl w:val="0"/>
          <w:numId w:val="3"/>
        </w:numPr>
        <w:spacing w:after="0" w:line="240" w:lineRule="auto"/>
        <w:contextualSpacing w:val="0"/>
        <w:rPr>
          <w:rFonts w:cstheme="minorHAnsi"/>
          <w:sz w:val="24"/>
          <w:szCs w:val="24"/>
        </w:rPr>
      </w:pPr>
      <w:r w:rsidRPr="00B1165B">
        <w:rPr>
          <w:rFonts w:cstheme="minorHAnsi"/>
          <w:sz w:val="24"/>
          <w:szCs w:val="24"/>
        </w:rPr>
        <w:t xml:space="preserve">Demonstrate conversions of multiple systems of measurements </w:t>
      </w:r>
    </w:p>
    <w:p w14:paraId="3E10E59E" w14:textId="77777777" w:rsidR="0097736B" w:rsidRPr="00B1165B" w:rsidRDefault="0097736B" w:rsidP="0097736B">
      <w:pPr>
        <w:pStyle w:val="ListParagraph"/>
        <w:numPr>
          <w:ilvl w:val="0"/>
          <w:numId w:val="3"/>
        </w:numPr>
        <w:spacing w:after="0" w:line="240" w:lineRule="auto"/>
        <w:contextualSpacing w:val="0"/>
        <w:rPr>
          <w:rFonts w:cstheme="minorHAnsi"/>
          <w:sz w:val="24"/>
          <w:szCs w:val="24"/>
        </w:rPr>
      </w:pPr>
      <w:r w:rsidRPr="00B1165B">
        <w:rPr>
          <w:rFonts w:cstheme="minorHAnsi"/>
          <w:sz w:val="24"/>
          <w:szCs w:val="24"/>
        </w:rPr>
        <w:t>Identify the correct use of syringes and distinguish appropriate volumes.</w:t>
      </w:r>
    </w:p>
    <w:p w14:paraId="2945AEA6" w14:textId="77777777" w:rsidR="0097736B" w:rsidRPr="00B1165B" w:rsidRDefault="0097736B" w:rsidP="0097736B">
      <w:pPr>
        <w:pStyle w:val="ListParagraph"/>
        <w:numPr>
          <w:ilvl w:val="0"/>
          <w:numId w:val="3"/>
        </w:numPr>
        <w:spacing w:after="0" w:line="240" w:lineRule="auto"/>
        <w:contextualSpacing w:val="0"/>
        <w:rPr>
          <w:rFonts w:cstheme="minorHAnsi"/>
          <w:sz w:val="24"/>
          <w:szCs w:val="24"/>
        </w:rPr>
      </w:pPr>
      <w:r w:rsidRPr="00B1165B">
        <w:rPr>
          <w:rFonts w:cstheme="minorHAnsi"/>
          <w:sz w:val="24"/>
          <w:szCs w:val="24"/>
        </w:rPr>
        <w:t>Determine the reconstitution and calculations of powered medications.</w:t>
      </w:r>
    </w:p>
    <w:p w14:paraId="7149DE62" w14:textId="77777777" w:rsidR="0097736B" w:rsidRPr="00B1165B" w:rsidRDefault="0097736B" w:rsidP="0097736B">
      <w:pPr>
        <w:pStyle w:val="ListParagraph"/>
        <w:numPr>
          <w:ilvl w:val="0"/>
          <w:numId w:val="3"/>
        </w:numPr>
        <w:spacing w:after="0" w:line="240" w:lineRule="auto"/>
        <w:contextualSpacing w:val="0"/>
        <w:rPr>
          <w:rFonts w:cstheme="minorHAnsi"/>
          <w:sz w:val="24"/>
          <w:szCs w:val="24"/>
        </w:rPr>
      </w:pPr>
      <w:r w:rsidRPr="00B1165B">
        <w:rPr>
          <w:rFonts w:cstheme="minorHAnsi"/>
          <w:sz w:val="24"/>
          <w:szCs w:val="24"/>
        </w:rPr>
        <w:t>Perform IV flow rate calculations.</w:t>
      </w:r>
    </w:p>
    <w:p w14:paraId="39E54BC4" w14:textId="77777777" w:rsidR="0097736B" w:rsidRPr="00B1165B" w:rsidRDefault="0097736B" w:rsidP="0097736B">
      <w:pPr>
        <w:pStyle w:val="ListParagraph"/>
        <w:numPr>
          <w:ilvl w:val="0"/>
          <w:numId w:val="3"/>
        </w:numPr>
        <w:spacing w:after="0" w:line="240" w:lineRule="auto"/>
        <w:contextualSpacing w:val="0"/>
        <w:rPr>
          <w:rFonts w:cstheme="minorHAnsi"/>
          <w:sz w:val="24"/>
          <w:szCs w:val="24"/>
        </w:rPr>
      </w:pPr>
      <w:r w:rsidRPr="00B1165B">
        <w:rPr>
          <w:rFonts w:cstheme="minorHAnsi"/>
          <w:sz w:val="24"/>
          <w:szCs w:val="24"/>
        </w:rPr>
        <w:t xml:space="preserve">Identify the principles of  safe drug administration </w:t>
      </w:r>
    </w:p>
    <w:p w14:paraId="2C9862EA" w14:textId="77777777" w:rsidR="0097736B" w:rsidRPr="00B1165B" w:rsidRDefault="0097736B" w:rsidP="0097736B">
      <w:pPr>
        <w:pStyle w:val="ListParagraph"/>
        <w:numPr>
          <w:ilvl w:val="0"/>
          <w:numId w:val="3"/>
        </w:numPr>
        <w:shd w:val="clear" w:color="auto" w:fill="FFFFFF"/>
        <w:spacing w:after="0" w:line="240" w:lineRule="auto"/>
        <w:rPr>
          <w:rFonts w:eastAsia="Times New Roman" w:cstheme="minorHAnsi"/>
          <w:color w:val="212121"/>
          <w:sz w:val="23"/>
          <w:szCs w:val="23"/>
        </w:rPr>
      </w:pPr>
      <w:r w:rsidRPr="00B1165B">
        <w:rPr>
          <w:rFonts w:cstheme="minorHAnsi"/>
          <w:sz w:val="24"/>
          <w:szCs w:val="24"/>
        </w:rPr>
        <w:t>Discuss the principles of pharmacotherapeutics using the nursing process.</w:t>
      </w:r>
    </w:p>
    <w:p w14:paraId="6D177423" w14:textId="77777777" w:rsidR="0097736B" w:rsidRPr="00B1165B" w:rsidRDefault="0097736B" w:rsidP="0097736B">
      <w:pPr>
        <w:shd w:val="clear" w:color="auto" w:fill="FFFFFF"/>
        <w:spacing w:after="0" w:line="240" w:lineRule="auto"/>
        <w:rPr>
          <w:rFonts w:eastAsia="Times New Roman" w:cstheme="minorHAnsi"/>
          <w:color w:val="212121"/>
          <w:sz w:val="23"/>
          <w:szCs w:val="23"/>
        </w:rPr>
      </w:pPr>
    </w:p>
    <w:p w14:paraId="37CF4758" w14:textId="77777777" w:rsidR="0097736B" w:rsidRPr="00B1165B" w:rsidRDefault="0097736B" w:rsidP="0097736B">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METHODS OF EVALUATION (including information regarding how each contributes to the overall course grade)</w:t>
      </w:r>
    </w:p>
    <w:p w14:paraId="25F0D2B6" w14:textId="77777777" w:rsidR="0097736B" w:rsidRPr="00B1165B" w:rsidRDefault="0097736B" w:rsidP="0097736B">
      <w:pPr>
        <w:pStyle w:val="Quick1"/>
        <w:numPr>
          <w:ilvl w:val="0"/>
          <w:numId w:val="0"/>
        </w:numPr>
        <w:spacing w:after="120"/>
        <w:rPr>
          <w:rFonts w:asciiTheme="minorHAnsi" w:hAnsiTheme="minorHAnsi" w:cstheme="minorHAnsi"/>
        </w:rPr>
      </w:pPr>
      <w:r w:rsidRPr="00B1165B">
        <w:rPr>
          <w:rFonts w:asciiTheme="minorHAnsi" w:hAnsiTheme="minorHAnsi" w:cstheme="minorHAnsi"/>
        </w:rPr>
        <w:t>The course outcomes will be evaluated based on the following methods:</w:t>
      </w:r>
    </w:p>
    <w:p w14:paraId="22D05E7F" w14:textId="77777777" w:rsidR="0097736B" w:rsidRPr="00B1165B" w:rsidRDefault="0097736B" w:rsidP="0097736B">
      <w:pPr>
        <w:pStyle w:val="ListParagraph"/>
        <w:widowControl w:val="0"/>
        <w:numPr>
          <w:ilvl w:val="0"/>
          <w:numId w:val="2"/>
        </w:numPr>
        <w:spacing w:after="0" w:line="240" w:lineRule="auto"/>
        <w:rPr>
          <w:rFonts w:eastAsia="Times New Roman" w:cstheme="minorHAnsi"/>
          <w:snapToGrid w:val="0"/>
          <w:sz w:val="24"/>
          <w:szCs w:val="20"/>
        </w:rPr>
      </w:pPr>
      <w:r w:rsidRPr="00B1165B">
        <w:rPr>
          <w:rFonts w:eastAsia="Times New Roman" w:cstheme="minorHAnsi"/>
          <w:snapToGrid w:val="0"/>
          <w:sz w:val="24"/>
          <w:szCs w:val="20"/>
        </w:rPr>
        <w:t>Quizzes – (5) 50%</w:t>
      </w:r>
    </w:p>
    <w:p w14:paraId="2EC5E177" w14:textId="77777777" w:rsidR="0097736B" w:rsidRPr="00B1165B" w:rsidRDefault="0097736B" w:rsidP="0097736B">
      <w:pPr>
        <w:pStyle w:val="ListParagraph"/>
        <w:widowControl w:val="0"/>
        <w:numPr>
          <w:ilvl w:val="0"/>
          <w:numId w:val="2"/>
        </w:numPr>
        <w:spacing w:after="0" w:line="240" w:lineRule="auto"/>
        <w:rPr>
          <w:rFonts w:eastAsia="Times New Roman" w:cstheme="minorHAnsi"/>
          <w:snapToGrid w:val="0"/>
          <w:sz w:val="24"/>
          <w:szCs w:val="20"/>
        </w:rPr>
      </w:pPr>
      <w:r w:rsidRPr="00B1165B">
        <w:rPr>
          <w:rFonts w:eastAsia="Times New Roman" w:cstheme="minorHAnsi"/>
          <w:snapToGrid w:val="0"/>
          <w:sz w:val="24"/>
          <w:szCs w:val="20"/>
        </w:rPr>
        <w:t xml:space="preserve">Comprehensive Final Exam – 50% </w:t>
      </w:r>
    </w:p>
    <w:p w14:paraId="786755F6" w14:textId="77777777" w:rsidR="0097736B" w:rsidRPr="00B1165B" w:rsidRDefault="0097736B" w:rsidP="0097736B">
      <w:pPr>
        <w:pStyle w:val="Quick1"/>
        <w:numPr>
          <w:ilvl w:val="0"/>
          <w:numId w:val="0"/>
        </w:numPr>
        <w:rPr>
          <w:rFonts w:asciiTheme="minorHAnsi" w:hAnsiTheme="minorHAnsi" w:cstheme="minorHAnsi"/>
        </w:rPr>
      </w:pPr>
    </w:p>
    <w:p w14:paraId="2F59C65D" w14:textId="77777777" w:rsidR="0097736B" w:rsidRDefault="0097736B" w:rsidP="0097736B">
      <w:pPr>
        <w:shd w:val="clear" w:color="auto" w:fill="FFFFFF"/>
        <w:spacing w:after="0" w:line="240" w:lineRule="auto"/>
        <w:rPr>
          <w:rFonts w:eastAsia="Arial Unicode MS" w:cstheme="minorHAnsi"/>
        </w:rPr>
      </w:pPr>
      <w:r w:rsidRPr="00B1165B">
        <w:rPr>
          <w:rFonts w:eastAsia="Arial Unicode MS" w:cstheme="minorHAnsi"/>
        </w:rPr>
        <w:lastRenderedPageBreak/>
        <w:t xml:space="preserve">A passing grade for the NU111 course is dependent on satisfactory completion of </w:t>
      </w:r>
      <w:r w:rsidRPr="00B1165B">
        <w:rPr>
          <w:rFonts w:eastAsia="Arial Unicode MS" w:cstheme="minorHAnsi"/>
          <w:b/>
        </w:rPr>
        <w:t>all</w:t>
      </w:r>
      <w:r w:rsidRPr="00B1165B">
        <w:rPr>
          <w:rFonts w:eastAsia="Arial Unicode MS" w:cstheme="minorHAnsi"/>
        </w:rPr>
        <w:t xml:space="preserve"> course requirements.</w:t>
      </w:r>
    </w:p>
    <w:p w14:paraId="221BAB57" w14:textId="77777777" w:rsidR="0097736B" w:rsidRPr="00B1165B" w:rsidRDefault="0097736B" w:rsidP="0097736B">
      <w:pPr>
        <w:shd w:val="clear" w:color="auto" w:fill="FFFFFF"/>
        <w:spacing w:after="0" w:line="240" w:lineRule="auto"/>
        <w:rPr>
          <w:rFonts w:eastAsia="Times New Roman" w:cstheme="minorHAnsi"/>
          <w:color w:val="212121"/>
          <w:sz w:val="23"/>
          <w:szCs w:val="23"/>
        </w:rPr>
      </w:pPr>
    </w:p>
    <w:p w14:paraId="1A88DC02" w14:textId="77777777" w:rsidR="0097736B" w:rsidRDefault="0097736B" w:rsidP="0097736B">
      <w:pPr>
        <w:shd w:val="clear" w:color="auto" w:fill="FFFFFF"/>
        <w:spacing w:after="0" w:line="240" w:lineRule="auto"/>
        <w:rPr>
          <w:rFonts w:eastAsia="Times New Roman" w:cstheme="minorHAnsi"/>
          <w:b/>
          <w:color w:val="000000"/>
          <w:sz w:val="24"/>
          <w:szCs w:val="28"/>
        </w:rPr>
      </w:pPr>
      <w:r w:rsidRPr="00B1165B">
        <w:rPr>
          <w:rFonts w:eastAsia="Times New Roman" w:cstheme="minorHAnsi"/>
          <w:b/>
          <w:color w:val="000000"/>
          <w:sz w:val="24"/>
          <w:szCs w:val="28"/>
        </w:rPr>
        <w:t>TOPICAL OUTLINE FOR COURSE CONTENT</w:t>
      </w:r>
    </w:p>
    <w:p w14:paraId="0F6D036F" w14:textId="77777777" w:rsidR="0097736B" w:rsidRDefault="0097736B" w:rsidP="0097736B">
      <w:pPr>
        <w:rPr>
          <w:rFonts w:eastAsia="Times New Roman" w:cstheme="minorHAnsi"/>
          <w:b/>
          <w:color w:val="000000"/>
          <w:sz w:val="24"/>
          <w:szCs w:val="28"/>
        </w:rPr>
      </w:pPr>
    </w:p>
    <w:p w14:paraId="64297078" w14:textId="77777777" w:rsidR="0097736B" w:rsidRPr="006D3A2E" w:rsidRDefault="0097736B" w:rsidP="0097736B">
      <w:pPr>
        <w:numPr>
          <w:ilvl w:val="0"/>
          <w:numId w:val="5"/>
        </w:numPr>
        <w:rPr>
          <w:rFonts w:eastAsia="Times New Roman" w:cstheme="minorHAnsi"/>
          <w:color w:val="000000"/>
          <w:sz w:val="24"/>
          <w:szCs w:val="28"/>
        </w:rPr>
      </w:pPr>
      <w:r w:rsidRPr="006D3A2E">
        <w:rPr>
          <w:rFonts w:eastAsia="Times New Roman" w:cstheme="minorHAnsi"/>
          <w:color w:val="000000"/>
          <w:sz w:val="24"/>
          <w:szCs w:val="28"/>
        </w:rPr>
        <w:t>Safe Dosage</w:t>
      </w:r>
    </w:p>
    <w:p w14:paraId="24CC9FCF" w14:textId="77777777" w:rsidR="0097736B" w:rsidRPr="006D3A2E" w:rsidRDefault="0097736B" w:rsidP="0097736B">
      <w:pPr>
        <w:numPr>
          <w:ilvl w:val="0"/>
          <w:numId w:val="5"/>
        </w:numPr>
        <w:rPr>
          <w:rFonts w:eastAsia="Times New Roman" w:cstheme="minorHAnsi"/>
          <w:color w:val="000000"/>
          <w:sz w:val="24"/>
          <w:szCs w:val="28"/>
        </w:rPr>
      </w:pPr>
      <w:r w:rsidRPr="006D3A2E">
        <w:rPr>
          <w:rFonts w:eastAsia="Times New Roman" w:cstheme="minorHAnsi"/>
          <w:color w:val="000000"/>
          <w:sz w:val="24"/>
          <w:szCs w:val="28"/>
        </w:rPr>
        <w:t>Medication Administration</w:t>
      </w:r>
    </w:p>
    <w:p w14:paraId="591B9779" w14:textId="77777777" w:rsidR="0097736B" w:rsidRPr="006D3A2E" w:rsidRDefault="0097736B" w:rsidP="0097736B">
      <w:pPr>
        <w:numPr>
          <w:ilvl w:val="0"/>
          <w:numId w:val="5"/>
        </w:numPr>
        <w:rPr>
          <w:rFonts w:eastAsia="Times New Roman" w:cstheme="minorHAnsi"/>
          <w:color w:val="000000"/>
          <w:sz w:val="24"/>
          <w:szCs w:val="28"/>
        </w:rPr>
      </w:pPr>
      <w:r w:rsidRPr="006D3A2E">
        <w:rPr>
          <w:rFonts w:eastAsia="Times New Roman" w:cstheme="minorHAnsi"/>
          <w:color w:val="000000"/>
          <w:sz w:val="24"/>
          <w:szCs w:val="28"/>
        </w:rPr>
        <w:t>Oral Medications</w:t>
      </w:r>
    </w:p>
    <w:p w14:paraId="128EDD8B" w14:textId="77777777" w:rsidR="0097736B" w:rsidRPr="006D3A2E" w:rsidRDefault="0097736B" w:rsidP="0097736B">
      <w:pPr>
        <w:numPr>
          <w:ilvl w:val="0"/>
          <w:numId w:val="5"/>
        </w:numPr>
        <w:rPr>
          <w:rFonts w:eastAsia="Times New Roman" w:cstheme="minorHAnsi"/>
          <w:color w:val="000000"/>
          <w:sz w:val="24"/>
          <w:szCs w:val="28"/>
        </w:rPr>
      </w:pPr>
      <w:r w:rsidRPr="006D3A2E">
        <w:rPr>
          <w:rFonts w:eastAsia="Times New Roman" w:cstheme="minorHAnsi"/>
          <w:color w:val="000000"/>
          <w:sz w:val="24"/>
          <w:szCs w:val="28"/>
        </w:rPr>
        <w:t>Injectable Medications</w:t>
      </w:r>
    </w:p>
    <w:p w14:paraId="0DD5D625" w14:textId="77777777" w:rsidR="0097736B" w:rsidRPr="006D3A2E" w:rsidRDefault="0097736B" w:rsidP="0097736B">
      <w:pPr>
        <w:numPr>
          <w:ilvl w:val="0"/>
          <w:numId w:val="5"/>
        </w:numPr>
        <w:rPr>
          <w:rFonts w:eastAsia="Times New Roman" w:cstheme="minorHAnsi"/>
          <w:color w:val="000000"/>
          <w:sz w:val="24"/>
          <w:szCs w:val="28"/>
        </w:rPr>
      </w:pPr>
      <w:r w:rsidRPr="006D3A2E">
        <w:rPr>
          <w:rFonts w:eastAsia="Times New Roman" w:cstheme="minorHAnsi"/>
          <w:color w:val="000000"/>
          <w:sz w:val="24"/>
          <w:szCs w:val="28"/>
        </w:rPr>
        <w:t>Powdered Medications</w:t>
      </w:r>
    </w:p>
    <w:p w14:paraId="5F850934" w14:textId="77777777" w:rsidR="0097736B" w:rsidRPr="006D3A2E" w:rsidRDefault="0097736B" w:rsidP="0097736B">
      <w:pPr>
        <w:numPr>
          <w:ilvl w:val="0"/>
          <w:numId w:val="6"/>
        </w:numPr>
        <w:rPr>
          <w:rFonts w:eastAsia="Times New Roman" w:cstheme="minorHAnsi"/>
          <w:color w:val="000000"/>
          <w:sz w:val="24"/>
          <w:szCs w:val="28"/>
        </w:rPr>
      </w:pPr>
      <w:r w:rsidRPr="006D3A2E">
        <w:rPr>
          <w:rFonts w:eastAsia="Times New Roman" w:cstheme="minorHAnsi"/>
          <w:color w:val="000000"/>
          <w:sz w:val="24"/>
          <w:szCs w:val="28"/>
        </w:rPr>
        <w:t>Parenteral (IV) Medications</w:t>
      </w:r>
    </w:p>
    <w:p w14:paraId="0DBEFFD6" w14:textId="77777777" w:rsidR="0097736B" w:rsidRPr="006D3A2E" w:rsidRDefault="0097736B" w:rsidP="0097736B">
      <w:pPr>
        <w:numPr>
          <w:ilvl w:val="0"/>
          <w:numId w:val="6"/>
        </w:numPr>
        <w:rPr>
          <w:rFonts w:eastAsia="Times New Roman" w:cstheme="minorHAnsi"/>
          <w:color w:val="000000"/>
          <w:sz w:val="24"/>
          <w:szCs w:val="28"/>
        </w:rPr>
      </w:pPr>
      <w:r w:rsidRPr="006D3A2E">
        <w:rPr>
          <w:rFonts w:eastAsia="Times New Roman" w:cstheme="minorHAnsi"/>
          <w:color w:val="000000"/>
          <w:sz w:val="24"/>
          <w:szCs w:val="28"/>
        </w:rPr>
        <w:t>Dosages by Weight</w:t>
      </w:r>
    </w:p>
    <w:p w14:paraId="73697674" w14:textId="77777777" w:rsidR="0097736B" w:rsidRPr="006D3A2E" w:rsidRDefault="0097736B" w:rsidP="0097736B">
      <w:pPr>
        <w:numPr>
          <w:ilvl w:val="0"/>
          <w:numId w:val="6"/>
        </w:numPr>
        <w:rPr>
          <w:rFonts w:eastAsia="Times New Roman" w:cstheme="minorHAnsi"/>
          <w:color w:val="000000"/>
          <w:sz w:val="24"/>
          <w:szCs w:val="28"/>
        </w:rPr>
      </w:pPr>
      <w:r w:rsidRPr="006D3A2E">
        <w:rPr>
          <w:rFonts w:eastAsia="Times New Roman" w:cstheme="minorHAnsi"/>
          <w:color w:val="000000"/>
          <w:sz w:val="24"/>
          <w:szCs w:val="28"/>
        </w:rPr>
        <w:t>Pediatric Medications</w:t>
      </w:r>
    </w:p>
    <w:p w14:paraId="2FF22572" w14:textId="77777777" w:rsidR="0097736B" w:rsidRPr="006D3A2E" w:rsidRDefault="0097736B" w:rsidP="0097736B">
      <w:pPr>
        <w:numPr>
          <w:ilvl w:val="0"/>
          <w:numId w:val="6"/>
        </w:numPr>
        <w:rPr>
          <w:rFonts w:eastAsia="Times New Roman" w:cstheme="minorHAnsi"/>
          <w:color w:val="000000"/>
          <w:sz w:val="24"/>
          <w:szCs w:val="28"/>
        </w:rPr>
      </w:pPr>
      <w:r w:rsidRPr="006D3A2E">
        <w:rPr>
          <w:rFonts w:eastAsia="Times New Roman" w:cstheme="minorHAnsi"/>
          <w:color w:val="000000"/>
          <w:sz w:val="24"/>
          <w:szCs w:val="28"/>
        </w:rPr>
        <w:t>Critical Care Medications</w:t>
      </w:r>
    </w:p>
    <w:p w14:paraId="77935011" w14:textId="77777777" w:rsidR="0097736B" w:rsidRDefault="0097736B" w:rsidP="0097736B">
      <w:pPr>
        <w:numPr>
          <w:ilvl w:val="0"/>
          <w:numId w:val="6"/>
        </w:numPr>
        <w:rPr>
          <w:rFonts w:eastAsia="Times New Roman" w:cstheme="minorHAnsi"/>
          <w:color w:val="000000"/>
          <w:sz w:val="24"/>
          <w:szCs w:val="28"/>
        </w:rPr>
      </w:pPr>
      <w:r w:rsidRPr="006D3A2E">
        <w:rPr>
          <w:rFonts w:eastAsia="Times New Roman" w:cstheme="minorHAnsi"/>
          <w:color w:val="000000"/>
          <w:sz w:val="24"/>
          <w:szCs w:val="28"/>
        </w:rPr>
        <w:t>Case Studies</w:t>
      </w:r>
    </w:p>
    <w:p w14:paraId="69738B38" w14:textId="77777777" w:rsidR="0097736B" w:rsidRDefault="0097736B" w:rsidP="0097736B">
      <w:pPr>
        <w:rPr>
          <w:rFonts w:eastAsia="Times New Roman" w:cstheme="minorHAnsi"/>
          <w:color w:val="000000"/>
          <w:sz w:val="24"/>
          <w:szCs w:val="28"/>
        </w:rPr>
      </w:pPr>
    </w:p>
    <w:p w14:paraId="10B0C4AE" w14:textId="77777777" w:rsidR="0097736B" w:rsidRPr="006D3A2E" w:rsidRDefault="0097736B" w:rsidP="0097736B">
      <w:pPr>
        <w:rPr>
          <w:rFonts w:eastAsia="Times New Roman" w:cstheme="minorHAnsi"/>
          <w:color w:val="000000"/>
          <w:sz w:val="24"/>
          <w:szCs w:val="28"/>
        </w:rPr>
      </w:pPr>
      <w:r>
        <w:rPr>
          <w:color w:val="000000"/>
          <w:shd w:val="clear" w:color="auto" w:fill="FFFFFF"/>
        </w:rPr>
        <w:t>The Associate in Applied Science (AAS) Nursing Program at Mohawk Valley Community College at the Utica Campus, located in Utica, New York, is accredited by: Accreditation Commission for Education in Nursing (ACEN) (3390 Peachtree Road, NE, Suite 1400, Atlanta, Georgia 30326. Telephone: 404-975-5000, Fax: 404-975-5020, website: www.acenursing.org, email: </w:t>
      </w:r>
      <w:hyperlink r:id="rId5" w:tgtFrame="_blank" w:history="1">
        <w:r>
          <w:rPr>
            <w:rStyle w:val="Hyperlink"/>
            <w:color w:val="0563C1"/>
            <w:shd w:val="clear" w:color="auto" w:fill="FFFFFF"/>
          </w:rPr>
          <w:t>info@acenursing.org</w:t>
        </w:r>
      </w:hyperlink>
      <w:r>
        <w:rPr>
          <w:color w:val="000000"/>
          <w:shd w:val="clear" w:color="auto" w:fill="FFFFFF"/>
        </w:rPr>
        <w:t>),  The most recent accreditation decision made by the ACEN Board of Commissioners for the Associate in Applied Science (A.S.S.) degree nursing program is Continuing Accreditation.  The nursing program is registered by the New York State Education Department, Office of the Professions.</w:t>
      </w:r>
    </w:p>
    <w:p w14:paraId="6875F8D0" w14:textId="77777777" w:rsidR="001067B8" w:rsidRPr="0097736B" w:rsidRDefault="001067B8">
      <w:pPr>
        <w:rPr>
          <w:rFonts w:eastAsia="Times New Roman" w:cstheme="minorHAnsi"/>
          <w:b/>
          <w:color w:val="000000"/>
          <w:sz w:val="24"/>
          <w:szCs w:val="28"/>
        </w:rPr>
      </w:pPr>
    </w:p>
    <w:sectPr w:rsidR="001067B8" w:rsidRPr="0097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230CED4"/>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16754634"/>
    <w:multiLevelType w:val="multilevel"/>
    <w:tmpl w:val="F138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00C1D"/>
    <w:multiLevelType w:val="hybridMultilevel"/>
    <w:tmpl w:val="A23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B4218"/>
    <w:multiLevelType w:val="hybridMultilevel"/>
    <w:tmpl w:val="1BFA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34055"/>
    <w:multiLevelType w:val="multilevel"/>
    <w:tmpl w:val="603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1707C"/>
    <w:multiLevelType w:val="hybridMultilevel"/>
    <w:tmpl w:val="440E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724900">
    <w:abstractNumId w:val="0"/>
    <w:lvlOverride w:ilvl="0">
      <w:startOverride w:val="1"/>
      <w:lvl w:ilvl="0">
        <w:start w:val="1"/>
        <w:numFmt w:val="decimal"/>
        <w:pStyle w:val="Quick1"/>
        <w:lvlText w:val="%1."/>
        <w:lvlJc w:val="left"/>
        <w:rPr>
          <w:rFonts w:ascii="Times New Roman" w:eastAsia="Times New Roman" w:hAnsi="Times New Roman" w:cs="Times New Roman"/>
        </w:rPr>
      </w:lvl>
    </w:lvlOverride>
  </w:num>
  <w:num w:numId="2" w16cid:durableId="425081061">
    <w:abstractNumId w:val="5"/>
  </w:num>
  <w:num w:numId="3" w16cid:durableId="1505783910">
    <w:abstractNumId w:val="2"/>
  </w:num>
  <w:num w:numId="4" w16cid:durableId="220135685">
    <w:abstractNumId w:val="3"/>
  </w:num>
  <w:num w:numId="5" w16cid:durableId="46421699">
    <w:abstractNumId w:val="1"/>
  </w:num>
  <w:num w:numId="6" w16cid:durableId="229922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6B"/>
    <w:rsid w:val="001067B8"/>
    <w:rsid w:val="0097736B"/>
    <w:rsid w:val="00D0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F9CC"/>
  <w15:chartTrackingRefBased/>
  <w15:docId w15:val="{236E0B26-8928-4675-A609-596C4B78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36B"/>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36B"/>
    <w:pPr>
      <w:ind w:left="720"/>
      <w:contextualSpacing/>
    </w:pPr>
  </w:style>
  <w:style w:type="paragraph" w:customStyle="1" w:styleId="WPNormal">
    <w:name w:val="WP_Normal"/>
    <w:basedOn w:val="Normal"/>
    <w:rsid w:val="0097736B"/>
    <w:pPr>
      <w:spacing w:after="0" w:line="240" w:lineRule="auto"/>
    </w:pPr>
    <w:rPr>
      <w:rFonts w:ascii="Monaco" w:eastAsia="Times New Roman" w:hAnsi="Monaco" w:cs="Times New Roman"/>
      <w:sz w:val="24"/>
      <w:szCs w:val="20"/>
    </w:rPr>
  </w:style>
  <w:style w:type="paragraph" w:customStyle="1" w:styleId="Quick1">
    <w:name w:val="Quick 1."/>
    <w:basedOn w:val="Normal"/>
    <w:rsid w:val="0097736B"/>
    <w:pPr>
      <w:widowControl w:val="0"/>
      <w:numPr>
        <w:numId w:val="1"/>
      </w:numPr>
      <w:spacing w:after="0" w:line="240" w:lineRule="auto"/>
      <w:ind w:left="720" w:hanging="720"/>
    </w:pPr>
    <w:rPr>
      <w:rFonts w:ascii="Times New Roman" w:eastAsia="Times New Roman" w:hAnsi="Times New Roman" w:cs="Times New Roman"/>
      <w:snapToGrid w:val="0"/>
      <w:sz w:val="24"/>
      <w:szCs w:val="20"/>
    </w:rPr>
  </w:style>
  <w:style w:type="table" w:styleId="TableGrid">
    <w:name w:val="Table Grid"/>
    <w:basedOn w:val="TableNormal"/>
    <w:uiPriority w:val="39"/>
    <w:rsid w:val="0097736B"/>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77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cenur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Norayne Rosero</dc:creator>
  <cp:keywords/>
  <dc:description/>
  <cp:lastModifiedBy>Melissa Golbach</cp:lastModifiedBy>
  <cp:revision>2</cp:revision>
  <dcterms:created xsi:type="dcterms:W3CDTF">2021-01-04T13:35:00Z</dcterms:created>
  <dcterms:modified xsi:type="dcterms:W3CDTF">2023-02-02T19:11:00Z</dcterms:modified>
</cp:coreProperties>
</file>